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rPr>
        <w:t>附件</w:t>
      </w:r>
      <w:r>
        <w:rPr>
          <w:rFonts w:hint="eastAsia" w:asciiTheme="minorEastAsia" w:hAnsiTheme="minorEastAsia" w:eastAsiaTheme="minorEastAsia" w:cstheme="minorEastAsia"/>
          <w:lang w:val="en-US" w:eastAsia="zh-CN"/>
        </w:rPr>
        <w:t>4</w:t>
      </w:r>
    </w:p>
    <w:p>
      <w:pPr>
        <w:spacing w:line="560" w:lineRule="exact"/>
        <w:jc w:val="center"/>
        <w:rPr>
          <w:rFonts w:ascii="宋体" w:hAnsi="宋体" w:eastAsia="方正小标宋_GBK" w:cs="方正小标宋_GBK"/>
          <w:b/>
          <w:sz w:val="44"/>
          <w:szCs w:val="44"/>
        </w:rPr>
      </w:pPr>
    </w:p>
    <w:p>
      <w:pPr>
        <w:spacing w:line="560" w:lineRule="exact"/>
        <w:jc w:val="center"/>
        <w:rPr>
          <w:rFonts w:hint="eastAsia" w:ascii="方正小标宋简体" w:hAnsi="宋体" w:eastAsia="方正小标宋简体"/>
          <w:b w:val="0"/>
          <w:bCs/>
          <w:sz w:val="44"/>
          <w:szCs w:val="44"/>
        </w:rPr>
      </w:pPr>
      <w:r>
        <w:rPr>
          <w:rFonts w:hint="eastAsia" w:ascii="方正小标宋简体" w:hAnsi="宋体" w:eastAsia="方正小标宋简体" w:cs="方正小标宋_GBK"/>
          <w:b w:val="0"/>
          <w:bCs/>
          <w:sz w:val="44"/>
          <w:szCs w:val="44"/>
        </w:rPr>
        <w:t xml:space="preserve">剑川县促进服务业企业（不含批发零售业和住宿餐饮业企业）市场主体倍增培育计划 </w:t>
      </w:r>
    </w:p>
    <w:p>
      <w:pPr>
        <w:spacing w:line="560" w:lineRule="exact"/>
        <w:ind w:firstLine="600" w:firstLineChars="200"/>
        <w:rPr>
          <w:rFonts w:ascii="宋体" w:hAnsi="宋体" w:cs="仿宋"/>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根据大理州促进农业市场主体倍增等８个培育计划，结合实际，制定本培育计划。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黑体_GBK"/>
        </w:rPr>
      </w:pPr>
      <w:r>
        <w:rPr>
          <w:rFonts w:hint="eastAsia" w:ascii="宋体" w:hAnsi="宋体" w:eastAsia="方正黑体_GBK"/>
        </w:rPr>
        <w:t>一、工作目标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聚焦细分行业，优化发展环境，强化数字赋能，增强要素保障，推动生产性服务业融合化发展，加快生活性服务业品质化发展，着力培育服务业企业。到2025年，全县服务业企业达到0.09万家、年均增长20%，其中，生产性服务业企业达到0.05万家、年均增长16%，规模以上服务业企业达到15家、年均增长12.5%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黑体_GBK"/>
        </w:rPr>
      </w:pPr>
      <w:r>
        <w:rPr>
          <w:rFonts w:hint="eastAsia" w:ascii="宋体" w:hAnsi="宋体" w:eastAsia="方正黑体_GBK"/>
        </w:rPr>
        <w:t>二、重点任务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宋体" w:hAnsi="宋体" w:eastAsia="方正楷体_GBK"/>
        </w:rPr>
        <w:t>（一）旅游文化企业倍增。</w:t>
      </w:r>
      <w:r>
        <w:rPr>
          <w:rFonts w:hint="eastAsia"/>
        </w:rPr>
        <w:t>科学规划布局，有效整合资源，完善配套体系，构建全域旅游发展新格局，促进旅游和文化深度融合发展，推进设施高端化、服务智慧化、产品特色化、营销国际化、秩序规范化、品质标准化，培育旅游文化市场主体。深化国有文旅企业改革，引进国内外知名文化旅游集团，打造综合型龙头文旅企业。围绕发展爱情旅游、体育旅游、文化旅游、团建娱乐旅游、美食旅游等文旅融合产品以及生态养生度假等康养旅游产品，完善乡村旅游和跨境旅游产品体系，推动民族文化与创意设计、现代时尚、数字技术等多产业融合发展，引进实力雄厚、资源丰富、专业系统的国内外知名旅游产业骨干企业投资</w:t>
      </w:r>
      <w:r>
        <w:rPr>
          <w:rFonts w:hint="eastAsia"/>
          <w:lang w:val="en-US" w:eastAsia="zh-CN"/>
        </w:rPr>
        <w:t>剑川</w:t>
      </w:r>
      <w:r>
        <w:rPr>
          <w:rFonts w:hint="eastAsia"/>
        </w:rPr>
        <w:t>，培育一批新型文化企业、文创企业、智慧旅游企业。（县文化和旅游局牵头，县级有关部门配合落实）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宋体" w:hAnsi="宋体" w:eastAsia="方正楷体_GBK"/>
        </w:rPr>
        <w:t>（二）现代物流企业倍增。</w:t>
      </w:r>
      <w:r>
        <w:rPr>
          <w:rFonts w:hint="eastAsia"/>
        </w:rPr>
        <w:t>大力推进大理国家物流枢纽建设，以省级重点物流产业园为载体，构建“156”物流服务网络，建立高效的社会化、专业化现代物流服务体系，鼓励物流业由基础性物流服务向高附加增值服务转型升级，积极吸引国际物流企业落户大理县，支持本地物流领军企业转型升级，增强供应链管理服务功能，打造供应链服务中心，将</w:t>
      </w:r>
      <w:r>
        <w:rPr>
          <w:rFonts w:hint="eastAsia"/>
          <w:lang w:val="en-US" w:eastAsia="zh-CN"/>
        </w:rPr>
        <w:t>剑川</w:t>
      </w:r>
      <w:r>
        <w:rPr>
          <w:rFonts w:hint="eastAsia"/>
        </w:rPr>
        <w:t>县物流产业培育成一二三产业联动发展的支撑性产业。（县商务局、</w:t>
      </w:r>
      <w:r>
        <w:rPr>
          <w:rFonts w:hint="eastAsia"/>
          <w:lang w:eastAsia="zh-CN"/>
        </w:rPr>
        <w:t>县发展改革局</w:t>
      </w:r>
      <w:r>
        <w:rPr>
          <w:rFonts w:hint="eastAsia"/>
        </w:rPr>
        <w:t>按职责分别牵头，县级有关部门配合落实）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宋体" w:hAnsi="宋体" w:eastAsia="方正楷体_GBK"/>
        </w:rPr>
        <w:t>（三）健康服务企业倍增。</w:t>
      </w:r>
      <w:r>
        <w:rPr>
          <w:rFonts w:hint="eastAsia"/>
        </w:rPr>
        <w:t>聚焦“医、养、体、学、智”关键环节，构建多层次多元化健康服务体系。鼓励社会力量投资开办运动康复、体质测定、健身指导、康体服务等各类服务机构。支持发展优质社会办医服务，鼓励社会力量举办的医疗卫生机构提供基本医疗服务、参与医疗联合体等协同联动的医疗服务合作机制及促进健康养老服务。建设县级医养一体的老年康养中心，发挥县级医疗机构的技术服务优势，填补县级医疗单位无康养一体业务的空白。引进培育高端健康管理机构，培育“康养+”融合发展主体，建设高端化、特色化国际康养基地。建设集训练比赛、健身康体、旅游、科研、交流为一体的国际一流高原体育训练基地群，培育体育服务、体育康养等市场主体。建设国际化健康服务业产学研基地，围绕生物医药和大健康等领域引进培育一批产教融合企业、平台企业和研发机构。（</w:t>
      </w:r>
      <w:r>
        <w:rPr>
          <w:rFonts w:hint="eastAsia"/>
          <w:lang w:eastAsia="zh-CN"/>
        </w:rPr>
        <w:t>县卫生健康局</w:t>
      </w:r>
      <w:r>
        <w:rPr>
          <w:rFonts w:hint="eastAsia"/>
        </w:rPr>
        <w:t>牵头，县级有关部门配合落实）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宋体" w:hAnsi="宋体" w:eastAsia="方正楷体_GBK"/>
        </w:rPr>
        <w:t>（四）推进现代金融组织发展。</w:t>
      </w:r>
      <w:r>
        <w:rPr>
          <w:rFonts w:hint="eastAsia"/>
        </w:rPr>
        <w:t>加大金融机构设立有关政策落实力度，大力引进内外资银行、证券期货、保险等金融机构，支持银行设立专营机构。依法依规稳妥发展融资租赁、融资担保、典当、保理等金融服务企业。支持政策性金融机构、开发性金融机构加强与商业银行、地方法人金融机构合作，培育发展信托公司、金融租赁公司、企业集团财务公司等非银行金融机构。吸引境内外符合条件的金融机构来我县设立分支机构。支持符合条件的地方法人金融机构发起设立金融资产投资公司、理财子公司、人寿保险公司等。支持本土保险、证券、期货等机构提升服务能力。（县人行部门按职责分工负责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宋体" w:hAnsi="宋体" w:eastAsia="方正楷体_GBK"/>
        </w:rPr>
        <w:t>（五）推动房地产企业健康发展。</w:t>
      </w:r>
      <w:r>
        <w:rPr>
          <w:rFonts w:hint="eastAsia"/>
        </w:rPr>
        <w:t>坚持“房住不炒”的发展定位，坚持以人民为中心的发展理念，“一城一策”分类指导，着力稳地价、稳房价、稳预期，保障人民群众住有所居，同时不断提高人民群众的居住品质。紧紧抓住城市更新、老旧小区改造等重大工程，提升居民住宅物业管理服务，培育一批品牌物业服务业企业，推动形成一批城市更新、智慧社区运营、住房租赁等领域服务业企业。（县住房城乡建设局牵头，县级有关部门配合，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宋体" w:hAnsi="宋体" w:eastAsia="方正楷体_GBK"/>
        </w:rPr>
        <w:t>（六）数字服务企业倍增。</w:t>
      </w:r>
      <w:r>
        <w:rPr>
          <w:rFonts w:hint="eastAsia"/>
        </w:rPr>
        <w:t>培育软件服务业企业，以跨境电子商务、康体养生、智慧旅游、小语种同步翻译、智慧教育等为重点，加强基础软件技术和产品研发。培育数字技术服务企业，发展面向南亚东南亚的数字技术服务，发展面向信创应用、工业、医疗、金融、物流、安防等重点领域及产业集群的大数据软硬件系统解决方案提供商。依托“数字大理”建设，着力培育发展信息技术服务商。（县发改局、</w:t>
      </w:r>
      <w:r>
        <w:rPr>
          <w:rFonts w:hint="eastAsia"/>
          <w:lang w:eastAsia="zh-CN"/>
        </w:rPr>
        <w:t>县工业信息和科技局</w:t>
      </w:r>
      <w:r>
        <w:rPr>
          <w:rFonts w:hint="eastAsia"/>
        </w:rPr>
        <w:t>按职责分别牵头，县级有关部门配合落实）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宋体" w:hAnsi="宋体" w:eastAsia="方正楷体_GBK"/>
        </w:rPr>
        <w:t>（七）科技服务企业倍增。</w:t>
      </w:r>
      <w:r>
        <w:rPr>
          <w:rFonts w:hint="eastAsia"/>
        </w:rPr>
        <w:t>围绕研究开发、技术转移、检验检测认证、创业孵化、知识产权、科技咨询、科技金融、科学技术普及、综合科技服务等重点领域，进一步推动科技服务与实体经济深度融合，促进科技服务业专业化、网络化、规模化发展，加快形成覆盖科技创新全链条的科技服务体系。（县工业信息和科技局、县市场监管局按职责分别牵头，县级有关部门配合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宋体" w:hAnsi="宋体" w:eastAsia="方正楷体_GBK"/>
        </w:rPr>
        <w:t>（八）家庭服务企业倍增。</w:t>
      </w:r>
      <w:r>
        <w:rPr>
          <w:rFonts w:hint="eastAsia"/>
        </w:rPr>
        <w:t>顺应人口老龄化发展趋势，全面落实优化生育政策及措施，促进养老、托育、家政等家庭服务业市场化、产业化、社会化、品质化发展。积极发展高端洗染业、美发美容业、健康娱乐等服务业，发展大型连锁家政公司，发展保洁、婴幼儿看护、老年人生活照顾和护理、理发、洗染、配送、维修等家庭服务，促进家庭服务规范化、标准化发展。支持各地区从实际出发，兴办主体多元、层次多样、优势互补的婴幼儿照护服务机构。推动家政服务业提质扩容，以标准化、品牌化、连锁化、网络化为重点发展家政服务企业。（县民政局、</w:t>
      </w:r>
      <w:r>
        <w:rPr>
          <w:rFonts w:hint="eastAsia"/>
          <w:lang w:eastAsia="zh-CN"/>
        </w:rPr>
        <w:t>县卫生健康局</w:t>
      </w:r>
      <w:r>
        <w:rPr>
          <w:rFonts w:hint="eastAsia"/>
        </w:rPr>
        <w:t>、县商务局按职责分别牵头，县级有关部门配合落实）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宋体" w:hAnsi="宋体" w:eastAsia="方正楷体_GBK"/>
        </w:rPr>
        <w:t>（九）商务服务企业倍增。</w:t>
      </w:r>
      <w:r>
        <w:rPr>
          <w:rFonts w:hint="eastAsia"/>
        </w:rPr>
        <w:t>加快发展会展服务，推进会展业转型升级，促进展会“双线”创新发展，培育一批服务水平高、专业优势突出、核心竞争力强的专业会展企业和特色会展企业。培育一批专业会展企业和特色会展企业，带动广告咨询、中介服务、展会物流等配套企业发展。引导咨询服务业规范、有序、健康发展，培育一批具有行业影响力和专业服务能力、助推制造业转型升级和产业链安全可靠的商务服务机构。（县商务局、相关咨询行业主管部门按职责分别牵头，县级有关部门配合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宋体" w:hAnsi="宋体" w:eastAsia="方正楷体_GBK"/>
        </w:rPr>
        <w:t>（十）环保服务企业倍增。</w:t>
      </w:r>
      <w:r>
        <w:rPr>
          <w:rFonts w:hint="eastAsia"/>
        </w:rPr>
        <w:t>加快发展生态环境修复、环境风险与损害评估、排污权交易、绿色认证、环境污染责任保险等新兴环保服务业。推广合同能源管理、节能诊断、节能评估、节能技术改造咨询服务、节能环保融资、第三方监测、环境污染第三方治理、环境综合治理托管服务等模式。推动节能环保服务企业由单一、短时效的技术服务，向咨询、管理、投融资等多领域、全周期的综合服务延伸拓展。（县生态环境局牵头，县级有关部门配合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宋体" w:hAnsi="宋体" w:eastAsia="方正楷体_GBK"/>
        </w:rPr>
        <w:t>（十一）教育培训企业倍增。</w:t>
      </w:r>
      <w:r>
        <w:rPr>
          <w:rFonts w:hint="eastAsia"/>
        </w:rPr>
        <w:t xml:space="preserve">全面落实“双减”政策，构建教育良好生态。鼓励社会力量兴办各类教育，重点发展职业教育、继续教育。深化产教融合、校企合作，推动职业教育高质量发展。加快发展智慧教育，鼓励开发数字教育资源，大力发展在线教育和远程培训。推动教育与健康产业融合发展。（县教体局牵头，县级有关部门配合落实）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黑体_GBK"/>
        </w:rPr>
      </w:pPr>
      <w:r>
        <w:rPr>
          <w:rFonts w:hint="eastAsia" w:ascii="宋体" w:hAnsi="宋体" w:eastAsia="方正黑体_GBK"/>
        </w:rPr>
        <w:t>三、政策措施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宋体" w:hAnsi="宋体" w:eastAsia="方正楷体_GBK"/>
          <w:lang w:val="en-US" w:eastAsia="zh-CN"/>
        </w:rPr>
        <w:t>（一）构建市场主体梯度培育格局。</w:t>
      </w:r>
      <w:r>
        <w:rPr>
          <w:rFonts w:hint="eastAsia"/>
        </w:rPr>
        <w:t>各服务业行业主管部门、</w:t>
      </w:r>
      <w:r>
        <w:rPr>
          <w:rFonts w:hint="eastAsia"/>
          <w:lang w:val="en-US" w:eastAsia="zh-CN"/>
        </w:rPr>
        <w:t>对照</w:t>
      </w:r>
      <w:r>
        <w:rPr>
          <w:rFonts w:hint="eastAsia"/>
        </w:rPr>
        <w:t>各县市目标任务（附件1、附件2、附件3），细化工作方案，推动各项工作任务落地落实，推动构建市场主体梯度培育格局。培育发展服务业龙头企业，分行业制定龙头企业培育库，大力引进国内外知名服务业企业，鼓励优势服务业企业通过股权投资、兼并重组等方式整合资源，拓展服务半径，做大市场规模，实现跨区跨境发展。加快发展专业化服务业企业，推动有条件的企业细化专业分工，鼓励生产制造业企业剥离研发设计中心、重大产业技术创新平台以及信息、物流、售后和社会服务等业务组建专业化的法人企业。实施现代服务业高新技术企业培育行动。大力发展服务业中小企业，引导中小服务企业专注核心业务，提高专业化服务水平，为大企业、大项目和产业链提供配套服务。实施中小企业数字化赋能专项行动，集聚一批面向制造业中小企业的数字化服务商，推进现代服务业“小升规”。壮大新型产业组织，培育产业技术联盟、协同创新联盟，新型商（协）会等新型产业组织。（县服务业发展联席会议成员单位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bookmarkStart w:id="0" w:name="_Toc21943"/>
      <w:bookmarkStart w:id="1" w:name="_Toc13251"/>
      <w:bookmarkStart w:id="2" w:name="_Toc5823"/>
      <w:r>
        <w:rPr>
          <w:rFonts w:hint="eastAsia" w:ascii="宋体" w:hAnsi="宋体" w:eastAsia="方正楷体_GBK"/>
          <w:lang w:val="en-US" w:eastAsia="zh-CN"/>
        </w:rPr>
        <w:t>（二）优化发展环境</w:t>
      </w:r>
      <w:bookmarkEnd w:id="0"/>
      <w:bookmarkEnd w:id="1"/>
      <w:bookmarkEnd w:id="2"/>
      <w:r>
        <w:rPr>
          <w:rFonts w:hint="eastAsia" w:ascii="宋体" w:hAnsi="宋体" w:eastAsia="方正楷体_GBK"/>
          <w:lang w:val="en-US" w:eastAsia="zh-CN"/>
        </w:rPr>
        <w:t>。</w:t>
      </w:r>
      <w:r>
        <w:rPr>
          <w:rFonts w:hint="eastAsia"/>
        </w:rPr>
        <w:t>持续放宽市场准入，进一步破除隐性壁垒，推动“非禁即入”普遍落实，全面实施市场准入负面清单制度。支持从制造企业剥离的制造服务业企业按规定申请认定为高新技术企业和技术先进型服务企业。鼓励制造服务业企业积极承接离岸和在岸服务外包业务。对服务业新产业、新业态、新模式，坚持包容审慎监管原则，在质量监控、消费维权、税收征管等方面加快推进实施线上线下一体化管理。推进服务市场信用体系建设，建立市场主体信用记录，健全对失信主体的惩戒机制。加强服务环境综合治理，强化服务业价格监管，及时查处消费侵权等问题。（县服务业发展联席会议成员单位、县工业信息和科技局、各乡镇人民政府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bookmarkStart w:id="3" w:name="_Toc30403"/>
      <w:bookmarkStart w:id="4" w:name="_Toc8931"/>
      <w:bookmarkStart w:id="5" w:name="_Toc22322"/>
      <w:r>
        <w:rPr>
          <w:rFonts w:hint="eastAsia" w:ascii="宋体" w:hAnsi="宋体" w:eastAsia="方正楷体_GBK"/>
          <w:lang w:val="en-US" w:eastAsia="zh-CN"/>
        </w:rPr>
        <w:t>（三）加大支持力度。</w:t>
      </w:r>
      <w:bookmarkStart w:id="6" w:name="_GoBack"/>
      <w:bookmarkEnd w:id="6"/>
      <w:r>
        <w:rPr>
          <w:rFonts w:hint="eastAsia"/>
        </w:rPr>
        <w:t>加大资金支持，创新资金投入方式，提高资金使用效益，积极争取国家各类有关中央财政资金；鼓励有条件的县市安排服务业专项资金支持本地服务业发展；加大政府购买服务力度，优化扩大购买范围。加大融资支持，引导金融机构在风险可控、商业可持续的前提下创新机制和产品，按照市场化、商业化原则拓展服务业企业融资渠道。做好用地保障服务，全力保障重大服务业项目建设用地需求；适应现代服务业新产业新业态新模式特点，创新用地供给方式，在符合国土空间规划和用途管制的前提下，推动不同产业用地类型合理转换，探索增加混合产业用地供给。落实税收和价格政策，全面落实支持服务业发展的税费优惠政策，做好政策宣传和纳税辅导，进一步落实口岸进境免税店、口岸出境免税店管理政策；支持符合条件的服务业企业参与电力市场化交易。（县服务业发展联席会议成员单位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宋体" w:hAnsi="宋体" w:eastAsia="方正楷体_GBK"/>
          <w:lang w:val="en-US" w:eastAsia="zh-CN"/>
        </w:rPr>
        <w:t>（四）强化统计监测</w:t>
      </w:r>
      <w:bookmarkEnd w:id="3"/>
      <w:bookmarkEnd w:id="4"/>
      <w:bookmarkEnd w:id="5"/>
      <w:r>
        <w:rPr>
          <w:rFonts w:hint="eastAsia" w:ascii="宋体" w:hAnsi="宋体" w:eastAsia="方正楷体_GBK"/>
          <w:lang w:val="en-US" w:eastAsia="zh-CN"/>
        </w:rPr>
        <w:t>。</w:t>
      </w:r>
      <w:r>
        <w:rPr>
          <w:rFonts w:hint="eastAsia"/>
          <w:lang w:val="en-US" w:eastAsia="zh-CN"/>
        </w:rPr>
        <w:t>剑川</w:t>
      </w:r>
      <w:r>
        <w:rPr>
          <w:rFonts w:hint="eastAsia"/>
        </w:rPr>
        <w:t>县促进市场主体倍增领导小组办公室牵头建立服务业企业培育统计监测制度，建立健全服务业企业培育统计监测指标体系，加强日常监测，强化工作调度，定期通报监测结果。（县市场监管局牵头负责，县级服务业行业主管部门、县统计局配合）</w:t>
      </w:r>
    </w:p>
    <w:p>
      <w:pPr>
        <w:pStyle w:val="2"/>
        <w:spacing w:line="560" w:lineRule="exact"/>
        <w:ind w:firstLine="640"/>
        <w:rPr>
          <w:rFonts w:hint="eastAsia" w:ascii="仿宋_GB2312" w:hAnsi="仿宋_GB2312" w:eastAsia="仿宋_GB2312" w:cs="仿宋_GB2312"/>
        </w:rPr>
      </w:pPr>
    </w:p>
    <w:p>
      <w:pPr>
        <w:spacing w:line="560" w:lineRule="exact"/>
        <w:ind w:left="1933" w:leftChars="304" w:hanging="960" w:hangingChars="300"/>
        <w:rPr>
          <w:rFonts w:hint="eastAsia" w:ascii="仿宋_GB2312" w:hAnsi="仿宋_GB2312" w:eastAsia="仿宋_GB2312" w:cs="仿宋_GB2312"/>
          <w:color w:val="000000"/>
        </w:rPr>
      </w:pPr>
      <w:r>
        <w:rPr>
          <w:rFonts w:hint="eastAsia" w:ascii="仿宋_GB2312" w:hAnsi="仿宋_GB2312" w:eastAsia="仿宋_GB2312" w:cs="仿宋_GB2312"/>
          <w:color w:val="000000"/>
        </w:rPr>
        <w:t>附件：1.“十四五”期间剑川县服务业企业（不含批发零售业和住宿餐饮企业）目标任务分解</w:t>
      </w:r>
    </w:p>
    <w:p>
      <w:pPr>
        <w:spacing w:line="560" w:lineRule="exact"/>
        <w:ind w:left="1920" w:hanging="1920" w:hangingChars="600"/>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            2.“十四五”期间剑川县生产性服务业企业目标任务分解</w:t>
      </w:r>
    </w:p>
    <w:p>
      <w:pPr>
        <w:spacing w:line="560" w:lineRule="exact"/>
        <w:ind w:left="960" w:hanging="960" w:hangingChars="300"/>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            3.“十四五”期间剑川县规上服务业目标任务分解</w:t>
      </w:r>
    </w:p>
    <w:p>
      <w:pPr>
        <w:pStyle w:val="5"/>
        <w:rPr>
          <w:rFonts w:hint="eastAsia" w:ascii="仿宋_GB2312" w:hAnsi="仿宋_GB2312" w:eastAsia="仿宋_GB2312" w:cs="仿宋_GB2312"/>
          <w:color w:val="000000"/>
        </w:rPr>
      </w:pPr>
    </w:p>
    <w:p>
      <w:pPr>
        <w:pStyle w:val="5"/>
        <w:rPr>
          <w:rFonts w:hint="eastAsia" w:ascii="仿宋_GB2312" w:hAnsi="仿宋_GB2312" w:eastAsia="仿宋_GB2312" w:cs="仿宋_GB2312"/>
          <w:color w:val="000000"/>
        </w:rPr>
      </w:pPr>
    </w:p>
    <w:p>
      <w:pPr>
        <w:pStyle w:val="5"/>
        <w:rPr>
          <w:rFonts w:hint="eastAsia" w:ascii="仿宋_GB2312" w:hAnsi="仿宋_GB2312" w:eastAsia="仿宋_GB2312" w:cs="仿宋_GB2312"/>
          <w:color w:val="000000"/>
        </w:rPr>
      </w:pPr>
    </w:p>
    <w:p>
      <w:pPr>
        <w:pStyle w:val="5"/>
        <w:rPr>
          <w:rFonts w:hint="eastAsia" w:ascii="仿宋_GB2312" w:hAnsi="仿宋_GB2312" w:eastAsia="仿宋_GB2312" w:cs="仿宋_GB2312"/>
          <w:color w:val="000000"/>
        </w:rPr>
      </w:pPr>
    </w:p>
    <w:p>
      <w:pPr>
        <w:pStyle w:val="5"/>
        <w:rPr>
          <w:rFonts w:hint="eastAsia" w:ascii="仿宋_GB2312" w:hAnsi="仿宋_GB2312" w:eastAsia="仿宋_GB2312" w:cs="仿宋_GB2312"/>
          <w:color w:val="000000"/>
        </w:rPr>
      </w:pPr>
    </w:p>
    <w:p>
      <w:pPr>
        <w:rPr>
          <w:rFonts w:hint="eastAsia" w:ascii="方正黑体_GBK" w:hAnsi="方正黑体_GBK" w:eastAsia="方正黑体_GBK" w:cs="方正黑体_GBK"/>
          <w:i w:val="0"/>
          <w:color w:val="000000"/>
          <w:kern w:val="0"/>
          <w:sz w:val="28"/>
          <w:szCs w:val="28"/>
          <w:u w:val="none"/>
          <w:lang w:val="en-US" w:eastAsia="zh-CN" w:bidi="ar"/>
        </w:rPr>
      </w:pPr>
      <w:r>
        <w:rPr>
          <w:rFonts w:hint="eastAsia" w:ascii="方正黑体_GBK" w:hAnsi="方正黑体_GBK" w:eastAsia="方正黑体_GBK" w:cs="方正黑体_GBK"/>
          <w:sz w:val="28"/>
          <w:szCs w:val="28"/>
          <w:lang w:eastAsia="zh-CN"/>
        </w:rPr>
        <w:t>附件</w:t>
      </w:r>
      <w:r>
        <w:rPr>
          <w:rFonts w:hint="eastAsia" w:ascii="方正黑体_GBK" w:hAnsi="方正黑体_GBK" w:eastAsia="方正黑体_GBK" w:cs="方正黑体_GBK"/>
          <w:sz w:val="28"/>
          <w:szCs w:val="28"/>
          <w:lang w:val="en-US" w:eastAsia="zh-CN"/>
        </w:rPr>
        <w:t>1</w:t>
      </w:r>
    </w:p>
    <w:p>
      <w:pPr>
        <w:jc w:val="center"/>
        <w:rPr>
          <w:rFonts w:hint="eastAsia" w:ascii="方正黑体_GBK" w:hAnsi="方正黑体_GBK" w:eastAsia="方正黑体_GBK" w:cs="方正黑体_GBK"/>
          <w:i w:val="0"/>
          <w:color w:val="000000"/>
          <w:kern w:val="0"/>
          <w:sz w:val="32"/>
          <w:szCs w:val="32"/>
          <w:u w:val="none"/>
          <w:lang w:val="en-US" w:eastAsia="zh-CN" w:bidi="ar"/>
        </w:rPr>
      </w:pPr>
      <w:r>
        <w:rPr>
          <w:rFonts w:hint="eastAsia" w:ascii="方正黑体_GBK" w:hAnsi="方正黑体_GBK" w:eastAsia="方正黑体_GBK" w:cs="方正黑体_GBK"/>
          <w:i w:val="0"/>
          <w:color w:val="000000"/>
          <w:kern w:val="0"/>
          <w:sz w:val="32"/>
          <w:szCs w:val="32"/>
          <w:u w:val="none"/>
          <w:lang w:val="en-US" w:eastAsia="zh-CN" w:bidi="ar"/>
        </w:rPr>
        <w:t>“十四五”期间大理州服务业企业（不含批发零售业和住宿</w:t>
      </w:r>
    </w:p>
    <w:p>
      <w:pPr>
        <w:jc w:val="center"/>
        <w:rPr>
          <w:rFonts w:hint="eastAsia"/>
          <w:sz w:val="32"/>
          <w:szCs w:val="32"/>
          <w:lang w:val="en-US" w:eastAsia="zh-CN"/>
        </w:rPr>
      </w:pPr>
      <w:r>
        <w:rPr>
          <w:rFonts w:hint="eastAsia" w:ascii="方正黑体_GBK" w:hAnsi="方正黑体_GBK" w:eastAsia="方正黑体_GBK" w:cs="方正黑体_GBK"/>
          <w:i w:val="0"/>
          <w:color w:val="000000"/>
          <w:kern w:val="0"/>
          <w:sz w:val="32"/>
          <w:szCs w:val="32"/>
          <w:u w:val="none"/>
          <w:lang w:val="en-US" w:eastAsia="zh-CN" w:bidi="ar"/>
        </w:rPr>
        <w:t>餐饮业企业）目标任务分解</w:t>
      </w:r>
    </w:p>
    <w:p>
      <w:pPr>
        <w:ind w:firstLine="6720" w:firstLineChars="2100"/>
        <w:rPr>
          <w:rFonts w:hint="eastAsia"/>
          <w:sz w:val="32"/>
          <w:szCs w:val="32"/>
          <w:lang w:val="en-US" w:eastAsia="zh-CN"/>
        </w:rPr>
      </w:pPr>
      <w:r>
        <w:rPr>
          <w:rFonts w:hint="eastAsia" w:ascii="方正黑体_GBK" w:hAnsi="方正黑体_GBK" w:eastAsia="方正黑体_GBK" w:cs="方正黑体_GBK"/>
          <w:i w:val="0"/>
          <w:color w:val="000000"/>
          <w:kern w:val="0"/>
          <w:sz w:val="32"/>
          <w:szCs w:val="32"/>
          <w:u w:val="none"/>
          <w:lang w:val="en-US" w:eastAsia="zh-CN" w:bidi="ar"/>
        </w:rPr>
        <w:t>单位：万户</w:t>
      </w:r>
    </w:p>
    <w:tbl>
      <w:tblPr>
        <w:tblStyle w:val="8"/>
        <w:tblW w:w="82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79"/>
        <w:gridCol w:w="1397"/>
        <w:gridCol w:w="1407"/>
        <w:gridCol w:w="1402"/>
        <w:gridCol w:w="1402"/>
        <w:gridCol w:w="1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0" w:hRule="atLeast"/>
        </w:trPr>
        <w:tc>
          <w:tcPr>
            <w:tcW w:w="12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000000"/>
                <w:kern w:val="0"/>
                <w:sz w:val="21"/>
                <w:szCs w:val="21"/>
                <w:u w:val="none"/>
                <w:lang w:val="en-US" w:eastAsia="zh-CN" w:bidi="ar"/>
              </w:rPr>
            </w:pPr>
            <w:r>
              <w:rPr>
                <w:rStyle w:val="11"/>
                <w:rFonts w:hint="eastAsia" w:ascii="Times New Roman" w:hAnsi="Times New Roman" w:eastAsia="方正仿宋_GBK" w:cs="Times New Roman"/>
                <w:b/>
                <w:bCs/>
                <w:sz w:val="21"/>
                <w:szCs w:val="21"/>
                <w:lang w:val="en-US" w:eastAsia="zh-CN" w:bidi="ar"/>
              </w:rPr>
              <w:t>县市</w:t>
            </w:r>
          </w:p>
        </w:tc>
        <w:tc>
          <w:tcPr>
            <w:tcW w:w="139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2021年</w:t>
            </w:r>
          </w:p>
        </w:tc>
        <w:tc>
          <w:tcPr>
            <w:tcW w:w="14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2022年</w:t>
            </w:r>
          </w:p>
        </w:tc>
        <w:tc>
          <w:tcPr>
            <w:tcW w:w="14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2023年</w:t>
            </w:r>
          </w:p>
        </w:tc>
        <w:tc>
          <w:tcPr>
            <w:tcW w:w="14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2024年</w:t>
            </w:r>
          </w:p>
        </w:tc>
        <w:tc>
          <w:tcPr>
            <w:tcW w:w="14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1279"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eastAsia" w:ascii="Times New Roman" w:hAnsi="Times New Roman" w:eastAsia="方正仿宋_GBK" w:cs="Times New Roman"/>
                <w:i w:val="0"/>
                <w:color w:val="000000"/>
                <w:kern w:val="0"/>
                <w:sz w:val="21"/>
                <w:szCs w:val="21"/>
                <w:u w:val="none"/>
                <w:lang w:val="en-US" w:eastAsia="zh-CN" w:bidi="ar"/>
              </w:rPr>
              <w:t>大理市</w:t>
            </w:r>
          </w:p>
        </w:tc>
        <w:tc>
          <w:tcPr>
            <w:tcW w:w="1397"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1.02</w:t>
            </w:r>
          </w:p>
        </w:tc>
        <w:tc>
          <w:tcPr>
            <w:tcW w:w="1407"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1.19</w:t>
            </w:r>
          </w:p>
        </w:tc>
        <w:tc>
          <w:tcPr>
            <w:tcW w:w="1402"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1.36</w:t>
            </w:r>
          </w:p>
        </w:tc>
        <w:tc>
          <w:tcPr>
            <w:tcW w:w="1402"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1.57</w:t>
            </w:r>
          </w:p>
        </w:tc>
        <w:tc>
          <w:tcPr>
            <w:tcW w:w="140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5" w:hRule="atLeast"/>
        </w:trPr>
        <w:tc>
          <w:tcPr>
            <w:tcW w:w="127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000000"/>
                <w:sz w:val="21"/>
                <w:szCs w:val="21"/>
                <w:u w:val="none"/>
                <w:lang w:eastAsia="zh-CN"/>
              </w:rPr>
            </w:pPr>
            <w:r>
              <w:rPr>
                <w:rFonts w:hint="eastAsia" w:ascii="Times New Roman" w:hAnsi="Times New Roman" w:eastAsia="方正仿宋_GBK" w:cs="Times New Roman"/>
                <w:i w:val="0"/>
                <w:color w:val="000000"/>
                <w:sz w:val="21"/>
                <w:szCs w:val="21"/>
                <w:u w:val="none"/>
                <w:lang w:eastAsia="zh-CN"/>
              </w:rPr>
              <w:t>漾濞县</w:t>
            </w:r>
          </w:p>
        </w:tc>
        <w:tc>
          <w:tcPr>
            <w:tcW w:w="13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0.04</w:t>
            </w:r>
          </w:p>
        </w:tc>
        <w:tc>
          <w:tcPr>
            <w:tcW w:w="140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0.04</w:t>
            </w: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0.05</w:t>
            </w: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0.06</w:t>
            </w:r>
          </w:p>
        </w:tc>
        <w:tc>
          <w:tcPr>
            <w:tcW w:w="140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127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000000"/>
                <w:sz w:val="21"/>
                <w:szCs w:val="21"/>
                <w:u w:val="none"/>
                <w:lang w:eastAsia="zh-CN"/>
              </w:rPr>
            </w:pPr>
            <w:r>
              <w:rPr>
                <w:rFonts w:hint="eastAsia" w:ascii="Times New Roman" w:hAnsi="Times New Roman" w:eastAsia="方正仿宋_GBK" w:cs="Times New Roman"/>
                <w:i w:val="0"/>
                <w:color w:val="000000"/>
                <w:sz w:val="21"/>
                <w:szCs w:val="21"/>
                <w:u w:val="none"/>
                <w:lang w:eastAsia="zh-CN"/>
              </w:rPr>
              <w:t>祥云县</w:t>
            </w:r>
          </w:p>
        </w:tc>
        <w:tc>
          <w:tcPr>
            <w:tcW w:w="13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0.17</w:t>
            </w:r>
          </w:p>
        </w:tc>
        <w:tc>
          <w:tcPr>
            <w:tcW w:w="140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0.19</w:t>
            </w: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0.22</w:t>
            </w: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0.25</w:t>
            </w:r>
          </w:p>
        </w:tc>
        <w:tc>
          <w:tcPr>
            <w:tcW w:w="140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atLeast"/>
        </w:trPr>
        <w:tc>
          <w:tcPr>
            <w:tcW w:w="127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000000"/>
                <w:sz w:val="21"/>
                <w:szCs w:val="21"/>
                <w:u w:val="none"/>
                <w:lang w:eastAsia="zh-CN"/>
              </w:rPr>
            </w:pPr>
            <w:r>
              <w:rPr>
                <w:rFonts w:hint="eastAsia" w:ascii="Times New Roman" w:hAnsi="Times New Roman" w:eastAsia="方正仿宋_GBK" w:cs="Times New Roman"/>
                <w:i w:val="0"/>
                <w:color w:val="000000"/>
                <w:sz w:val="21"/>
                <w:szCs w:val="21"/>
                <w:u w:val="none"/>
                <w:lang w:eastAsia="zh-CN"/>
              </w:rPr>
              <w:t>宾川县</w:t>
            </w:r>
          </w:p>
        </w:tc>
        <w:tc>
          <w:tcPr>
            <w:tcW w:w="13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0.10</w:t>
            </w:r>
          </w:p>
        </w:tc>
        <w:tc>
          <w:tcPr>
            <w:tcW w:w="140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0.11</w:t>
            </w: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0.13</w:t>
            </w: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0.15</w:t>
            </w:r>
          </w:p>
        </w:tc>
        <w:tc>
          <w:tcPr>
            <w:tcW w:w="140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0" w:hRule="atLeast"/>
        </w:trPr>
        <w:tc>
          <w:tcPr>
            <w:tcW w:w="127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 xml:space="preserve"> 弥渡县</w:t>
            </w:r>
          </w:p>
        </w:tc>
        <w:tc>
          <w:tcPr>
            <w:tcW w:w="13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0.06</w:t>
            </w:r>
          </w:p>
        </w:tc>
        <w:tc>
          <w:tcPr>
            <w:tcW w:w="140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0.07</w:t>
            </w: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0.08</w:t>
            </w: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eastAsia" w:ascii="Times New Roman" w:hAnsi="Times New Roman" w:eastAsia="方正仿宋_GBK" w:cs="Times New Roman"/>
                <w:i w:val="0"/>
                <w:color w:val="000000"/>
                <w:kern w:val="0"/>
                <w:sz w:val="21"/>
                <w:szCs w:val="21"/>
                <w:u w:val="none"/>
                <w:lang w:val="en-US" w:eastAsia="zh-CN" w:bidi="ar"/>
              </w:rPr>
              <w:t>0.09</w:t>
            </w:r>
            <w:r>
              <w:rPr>
                <w:rFonts w:hint="default" w:ascii="Times New Roman" w:hAnsi="Times New Roman" w:eastAsia="方正仿宋_GBK" w:cs="Times New Roman"/>
                <w:i w:val="0"/>
                <w:color w:val="000000"/>
                <w:kern w:val="0"/>
                <w:sz w:val="21"/>
                <w:szCs w:val="21"/>
                <w:u w:val="none"/>
                <w:lang w:val="en-US" w:eastAsia="zh-CN" w:bidi="ar"/>
              </w:rPr>
              <w:t xml:space="preserve"> </w:t>
            </w:r>
          </w:p>
        </w:tc>
        <w:tc>
          <w:tcPr>
            <w:tcW w:w="140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5" w:hRule="atLeast"/>
        </w:trPr>
        <w:tc>
          <w:tcPr>
            <w:tcW w:w="127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000000"/>
                <w:sz w:val="21"/>
                <w:szCs w:val="21"/>
                <w:u w:val="none"/>
                <w:lang w:eastAsia="zh-CN"/>
              </w:rPr>
            </w:pPr>
            <w:r>
              <w:rPr>
                <w:rFonts w:hint="eastAsia" w:ascii="Times New Roman" w:hAnsi="Times New Roman" w:eastAsia="方正仿宋_GBK" w:cs="Times New Roman"/>
                <w:i w:val="0"/>
                <w:color w:val="000000"/>
                <w:sz w:val="21"/>
                <w:szCs w:val="21"/>
                <w:u w:val="none"/>
                <w:lang w:eastAsia="zh-CN"/>
              </w:rPr>
              <w:t>南涧县</w:t>
            </w:r>
          </w:p>
        </w:tc>
        <w:tc>
          <w:tcPr>
            <w:tcW w:w="13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0.06</w:t>
            </w:r>
          </w:p>
        </w:tc>
        <w:tc>
          <w:tcPr>
            <w:tcW w:w="140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0.07</w:t>
            </w: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0.08</w:t>
            </w: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0.09</w:t>
            </w:r>
          </w:p>
        </w:tc>
        <w:tc>
          <w:tcPr>
            <w:tcW w:w="140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127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000000"/>
                <w:sz w:val="21"/>
                <w:szCs w:val="21"/>
                <w:u w:val="none"/>
                <w:lang w:eastAsia="zh-CN"/>
              </w:rPr>
            </w:pPr>
            <w:r>
              <w:rPr>
                <w:rFonts w:hint="eastAsia" w:ascii="Times New Roman" w:hAnsi="Times New Roman" w:eastAsia="方正仿宋_GBK" w:cs="Times New Roman"/>
                <w:i w:val="0"/>
                <w:color w:val="000000"/>
                <w:sz w:val="21"/>
                <w:szCs w:val="21"/>
                <w:u w:val="none"/>
                <w:lang w:eastAsia="zh-CN"/>
              </w:rPr>
              <w:t>巍山县</w:t>
            </w:r>
          </w:p>
        </w:tc>
        <w:tc>
          <w:tcPr>
            <w:tcW w:w="13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0.07</w:t>
            </w:r>
          </w:p>
        </w:tc>
        <w:tc>
          <w:tcPr>
            <w:tcW w:w="140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0.08</w:t>
            </w: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0.09</w:t>
            </w: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0.10</w:t>
            </w:r>
          </w:p>
        </w:tc>
        <w:tc>
          <w:tcPr>
            <w:tcW w:w="140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127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000000"/>
                <w:sz w:val="21"/>
                <w:szCs w:val="21"/>
                <w:u w:val="none"/>
                <w:lang w:eastAsia="zh-CN"/>
              </w:rPr>
            </w:pPr>
            <w:r>
              <w:rPr>
                <w:rFonts w:hint="eastAsia" w:ascii="Times New Roman" w:hAnsi="Times New Roman" w:eastAsia="方正仿宋_GBK" w:cs="Times New Roman"/>
                <w:i w:val="0"/>
                <w:color w:val="000000"/>
                <w:sz w:val="21"/>
                <w:szCs w:val="21"/>
                <w:u w:val="none"/>
                <w:lang w:eastAsia="zh-CN"/>
              </w:rPr>
              <w:t>永平县</w:t>
            </w:r>
          </w:p>
        </w:tc>
        <w:tc>
          <w:tcPr>
            <w:tcW w:w="13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0.06</w:t>
            </w:r>
          </w:p>
        </w:tc>
        <w:tc>
          <w:tcPr>
            <w:tcW w:w="140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sz w:val="21"/>
                <w:szCs w:val="21"/>
                <w:u w:val="none"/>
                <w:lang w:val="en-US" w:eastAsia="zh-CN"/>
              </w:rPr>
              <w:t>0.07</w:t>
            </w: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sz w:val="21"/>
                <w:szCs w:val="21"/>
                <w:u w:val="none"/>
                <w:lang w:val="en-US" w:eastAsia="zh-CN"/>
              </w:rPr>
              <w:t>0.08</w:t>
            </w: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sz w:val="21"/>
                <w:szCs w:val="21"/>
                <w:u w:val="none"/>
                <w:lang w:val="en-US" w:eastAsia="zh-CN"/>
              </w:rPr>
              <w:t>0.09</w:t>
            </w:r>
          </w:p>
        </w:tc>
        <w:tc>
          <w:tcPr>
            <w:tcW w:w="140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sz w:val="21"/>
                <w:szCs w:val="21"/>
                <w:u w:val="none"/>
                <w:lang w:val="en-US" w:eastAsia="zh-CN"/>
              </w:rPr>
              <w:t>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127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000000"/>
                <w:sz w:val="21"/>
                <w:szCs w:val="21"/>
                <w:u w:val="none"/>
                <w:lang w:eastAsia="zh-CN"/>
              </w:rPr>
            </w:pPr>
            <w:r>
              <w:rPr>
                <w:rFonts w:hint="eastAsia" w:ascii="Times New Roman" w:hAnsi="Times New Roman" w:eastAsia="方正仿宋_GBK" w:cs="Times New Roman"/>
                <w:i w:val="0"/>
                <w:color w:val="000000"/>
                <w:sz w:val="21"/>
                <w:szCs w:val="21"/>
                <w:u w:val="none"/>
                <w:lang w:eastAsia="zh-CN"/>
              </w:rPr>
              <w:t>云龙县</w:t>
            </w:r>
          </w:p>
        </w:tc>
        <w:tc>
          <w:tcPr>
            <w:tcW w:w="13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0.05</w:t>
            </w:r>
          </w:p>
        </w:tc>
        <w:tc>
          <w:tcPr>
            <w:tcW w:w="140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0.06</w:t>
            </w: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0.07</w:t>
            </w: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0.08</w:t>
            </w:r>
          </w:p>
        </w:tc>
        <w:tc>
          <w:tcPr>
            <w:tcW w:w="140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127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000000"/>
                <w:sz w:val="21"/>
                <w:szCs w:val="21"/>
                <w:u w:val="none"/>
                <w:lang w:eastAsia="zh-CN"/>
              </w:rPr>
            </w:pPr>
            <w:r>
              <w:rPr>
                <w:rFonts w:hint="eastAsia" w:ascii="Times New Roman" w:hAnsi="Times New Roman" w:eastAsia="方正仿宋_GBK" w:cs="Times New Roman"/>
                <w:i w:val="0"/>
                <w:color w:val="000000"/>
                <w:sz w:val="21"/>
                <w:szCs w:val="21"/>
                <w:u w:val="none"/>
                <w:lang w:eastAsia="zh-CN"/>
              </w:rPr>
              <w:t>洱源县</w:t>
            </w:r>
          </w:p>
        </w:tc>
        <w:tc>
          <w:tcPr>
            <w:tcW w:w="13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0.06</w:t>
            </w:r>
          </w:p>
        </w:tc>
        <w:tc>
          <w:tcPr>
            <w:tcW w:w="140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0.07</w:t>
            </w: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0.08</w:t>
            </w: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0.10</w:t>
            </w:r>
          </w:p>
        </w:tc>
        <w:tc>
          <w:tcPr>
            <w:tcW w:w="140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279"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000000"/>
                <w:sz w:val="21"/>
                <w:szCs w:val="21"/>
                <w:u w:val="none"/>
                <w:lang w:eastAsia="zh-CN"/>
              </w:rPr>
            </w:pPr>
            <w:r>
              <w:rPr>
                <w:rFonts w:hint="eastAsia" w:ascii="Times New Roman" w:hAnsi="Times New Roman" w:eastAsia="方正仿宋_GBK" w:cs="Times New Roman"/>
                <w:i w:val="0"/>
                <w:color w:val="000000"/>
                <w:sz w:val="21"/>
                <w:szCs w:val="21"/>
                <w:u w:val="none"/>
                <w:lang w:eastAsia="zh-CN"/>
              </w:rPr>
              <w:t>剑川县</w:t>
            </w:r>
          </w:p>
        </w:tc>
        <w:tc>
          <w:tcPr>
            <w:tcW w:w="1397"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0.05</w:t>
            </w:r>
          </w:p>
        </w:tc>
        <w:tc>
          <w:tcPr>
            <w:tcW w:w="1407"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0.06</w:t>
            </w:r>
          </w:p>
        </w:tc>
        <w:tc>
          <w:tcPr>
            <w:tcW w:w="1402"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0.07</w:t>
            </w:r>
          </w:p>
        </w:tc>
        <w:tc>
          <w:tcPr>
            <w:tcW w:w="1402"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0.08</w:t>
            </w:r>
          </w:p>
        </w:tc>
        <w:tc>
          <w:tcPr>
            <w:tcW w:w="140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12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000000"/>
                <w:sz w:val="21"/>
                <w:szCs w:val="21"/>
                <w:u w:val="none"/>
                <w:lang w:eastAsia="zh-CN"/>
              </w:rPr>
            </w:pPr>
            <w:r>
              <w:rPr>
                <w:rFonts w:hint="eastAsia" w:ascii="Times New Roman" w:hAnsi="Times New Roman" w:eastAsia="方正仿宋_GBK" w:cs="Times New Roman"/>
                <w:i w:val="0"/>
                <w:color w:val="000000"/>
                <w:sz w:val="21"/>
                <w:szCs w:val="21"/>
                <w:u w:val="none"/>
                <w:lang w:eastAsia="zh-CN"/>
              </w:rPr>
              <w:t>鹤庆县</w:t>
            </w:r>
          </w:p>
        </w:tc>
        <w:tc>
          <w:tcPr>
            <w:tcW w:w="139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0.06</w:t>
            </w:r>
          </w:p>
        </w:tc>
        <w:tc>
          <w:tcPr>
            <w:tcW w:w="14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0.06</w:t>
            </w:r>
          </w:p>
        </w:tc>
        <w:tc>
          <w:tcPr>
            <w:tcW w:w="14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0.07</w:t>
            </w:r>
          </w:p>
        </w:tc>
        <w:tc>
          <w:tcPr>
            <w:tcW w:w="14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0.08</w:t>
            </w:r>
          </w:p>
        </w:tc>
        <w:tc>
          <w:tcPr>
            <w:tcW w:w="14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2" w:hRule="atLeast"/>
        </w:trPr>
        <w:tc>
          <w:tcPr>
            <w:tcW w:w="12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合</w:t>
            </w:r>
            <w:r>
              <w:rPr>
                <w:rFonts w:hint="eastAsia" w:ascii="Times New Roman" w:hAnsi="Times New Roman" w:eastAsia="方正仿宋_GBK" w:cs="Times New Roman"/>
                <w:i w:val="0"/>
                <w:color w:val="000000"/>
                <w:kern w:val="0"/>
                <w:sz w:val="21"/>
                <w:szCs w:val="21"/>
                <w:u w:val="none"/>
                <w:lang w:val="en-US" w:eastAsia="zh-CN" w:bidi="ar"/>
              </w:rPr>
              <w:t xml:space="preserve">  </w:t>
            </w:r>
            <w:r>
              <w:rPr>
                <w:rFonts w:hint="default" w:ascii="Times New Roman" w:hAnsi="Times New Roman" w:eastAsia="方正仿宋_GBK" w:cs="Times New Roman"/>
                <w:i w:val="0"/>
                <w:color w:val="000000"/>
                <w:kern w:val="0"/>
                <w:sz w:val="21"/>
                <w:szCs w:val="21"/>
                <w:u w:val="none"/>
                <w:lang w:val="en-US" w:eastAsia="zh-CN" w:bidi="ar"/>
              </w:rPr>
              <w:t>计</w:t>
            </w:r>
          </w:p>
        </w:tc>
        <w:tc>
          <w:tcPr>
            <w:tcW w:w="139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1.80</w:t>
            </w:r>
          </w:p>
        </w:tc>
        <w:tc>
          <w:tcPr>
            <w:tcW w:w="14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2.07</w:t>
            </w:r>
          </w:p>
        </w:tc>
        <w:tc>
          <w:tcPr>
            <w:tcW w:w="14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2.38</w:t>
            </w:r>
          </w:p>
        </w:tc>
        <w:tc>
          <w:tcPr>
            <w:tcW w:w="14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2.74</w:t>
            </w:r>
          </w:p>
        </w:tc>
        <w:tc>
          <w:tcPr>
            <w:tcW w:w="14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3.16</w:t>
            </w:r>
          </w:p>
        </w:tc>
      </w:tr>
    </w:tbl>
    <w:p>
      <w:pPr>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eastAsia="zh-CN"/>
        </w:rPr>
        <w:t>附件</w:t>
      </w:r>
      <w:r>
        <w:rPr>
          <w:rFonts w:hint="eastAsia" w:ascii="方正黑体_GBK" w:hAnsi="方正黑体_GBK" w:eastAsia="方正黑体_GBK" w:cs="方正黑体_GBK"/>
          <w:sz w:val="28"/>
          <w:szCs w:val="28"/>
          <w:lang w:val="en-US" w:eastAsia="zh-CN"/>
        </w:rPr>
        <w:t>2</w:t>
      </w:r>
    </w:p>
    <w:p>
      <w:pPr>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“十四五”期间</w:t>
      </w:r>
      <w:r>
        <w:rPr>
          <w:rFonts w:hint="eastAsia" w:ascii="方正黑体_GBK" w:hAnsi="方正黑体_GBK" w:eastAsia="方正黑体_GBK" w:cs="方正黑体_GBK"/>
          <w:sz w:val="32"/>
          <w:szCs w:val="32"/>
          <w:lang w:eastAsia="zh-CN"/>
        </w:rPr>
        <w:t>大理州</w:t>
      </w:r>
      <w:r>
        <w:rPr>
          <w:rFonts w:hint="eastAsia" w:ascii="方正黑体_GBK" w:hAnsi="方正黑体_GBK" w:eastAsia="方正黑体_GBK" w:cs="方正黑体_GBK"/>
          <w:sz w:val="32"/>
          <w:szCs w:val="32"/>
        </w:rPr>
        <w:t>生产性服务业目标任务分解</w:t>
      </w:r>
    </w:p>
    <w:p>
      <w:pPr>
        <w:jc w:val="center"/>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 xml:space="preserve">                                       单位：万户</w:t>
      </w:r>
    </w:p>
    <w:tbl>
      <w:tblPr>
        <w:tblStyle w:val="8"/>
        <w:tblW w:w="82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830"/>
        <w:gridCol w:w="1292"/>
        <w:gridCol w:w="1292"/>
        <w:gridCol w:w="1292"/>
        <w:gridCol w:w="1292"/>
        <w:gridCol w:w="1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18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县  市</w:t>
            </w:r>
          </w:p>
        </w:tc>
        <w:tc>
          <w:tcPr>
            <w:tcW w:w="12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2021年</w:t>
            </w:r>
          </w:p>
        </w:tc>
        <w:tc>
          <w:tcPr>
            <w:tcW w:w="12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2022年</w:t>
            </w:r>
          </w:p>
        </w:tc>
        <w:tc>
          <w:tcPr>
            <w:tcW w:w="12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2023年</w:t>
            </w:r>
          </w:p>
        </w:tc>
        <w:tc>
          <w:tcPr>
            <w:tcW w:w="12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2024年</w:t>
            </w:r>
          </w:p>
        </w:tc>
        <w:tc>
          <w:tcPr>
            <w:tcW w:w="1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5" w:hRule="atLeast"/>
        </w:trPr>
        <w:tc>
          <w:tcPr>
            <w:tcW w:w="1830"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eastAsia" w:ascii="Times New Roman" w:hAnsi="Times New Roman" w:eastAsia="方正仿宋_GBK" w:cs="Times New Roman"/>
                <w:i w:val="0"/>
                <w:color w:val="000000"/>
                <w:kern w:val="0"/>
                <w:sz w:val="21"/>
                <w:szCs w:val="21"/>
                <w:u w:val="none"/>
                <w:lang w:val="en-US" w:eastAsia="zh-CN" w:bidi="ar"/>
              </w:rPr>
              <w:t>大理市</w:t>
            </w:r>
          </w:p>
        </w:tc>
        <w:tc>
          <w:tcPr>
            <w:tcW w:w="1292"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0.53</w:t>
            </w:r>
          </w:p>
        </w:tc>
        <w:tc>
          <w:tcPr>
            <w:tcW w:w="1292"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0.60</w:t>
            </w:r>
          </w:p>
        </w:tc>
        <w:tc>
          <w:tcPr>
            <w:tcW w:w="1292"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0.69</w:t>
            </w:r>
          </w:p>
        </w:tc>
        <w:tc>
          <w:tcPr>
            <w:tcW w:w="1292"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0.81</w:t>
            </w:r>
          </w:p>
        </w:tc>
        <w:tc>
          <w:tcPr>
            <w:tcW w:w="129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18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eastAsia" w:ascii="Times New Roman" w:hAnsi="Times New Roman" w:eastAsia="方正仿宋_GBK" w:cs="Times New Roman"/>
                <w:i w:val="0"/>
                <w:color w:val="000000"/>
                <w:sz w:val="21"/>
                <w:szCs w:val="21"/>
                <w:u w:val="none"/>
                <w:lang w:eastAsia="zh-CN"/>
              </w:rPr>
              <w:t>漾濞县</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0.02</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0.02</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0.03</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0.03</w:t>
            </w:r>
          </w:p>
        </w:tc>
        <w:tc>
          <w:tcPr>
            <w:tcW w:w="12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18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eastAsia" w:ascii="Times New Roman" w:hAnsi="Times New Roman" w:eastAsia="方正仿宋_GBK" w:cs="Times New Roman"/>
                <w:i w:val="0"/>
                <w:color w:val="000000"/>
                <w:sz w:val="21"/>
                <w:szCs w:val="21"/>
                <w:u w:val="none"/>
                <w:lang w:eastAsia="zh-CN"/>
              </w:rPr>
              <w:t>祥云县</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0.08</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0.10</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0.11</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0.13</w:t>
            </w:r>
          </w:p>
        </w:tc>
        <w:tc>
          <w:tcPr>
            <w:tcW w:w="12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5" w:hRule="atLeast"/>
        </w:trPr>
        <w:tc>
          <w:tcPr>
            <w:tcW w:w="18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eastAsia" w:ascii="Times New Roman" w:hAnsi="Times New Roman" w:eastAsia="方正仿宋_GBK" w:cs="Times New Roman"/>
                <w:i w:val="0"/>
                <w:color w:val="000000"/>
                <w:sz w:val="21"/>
                <w:szCs w:val="21"/>
                <w:u w:val="none"/>
                <w:lang w:eastAsia="zh-CN"/>
              </w:rPr>
              <w:t>宾川县</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0.07</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0.08</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0.09</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0.10</w:t>
            </w:r>
          </w:p>
        </w:tc>
        <w:tc>
          <w:tcPr>
            <w:tcW w:w="12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18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eastAsia" w:ascii="Times New Roman" w:hAnsi="Times New Roman" w:eastAsia="方正仿宋_GBK" w:cs="Times New Roman"/>
                <w:i w:val="0"/>
                <w:color w:val="000000"/>
                <w:sz w:val="21"/>
                <w:szCs w:val="21"/>
                <w:u w:val="none"/>
                <w:lang w:val="en-US" w:eastAsia="zh-CN"/>
              </w:rPr>
              <w:t xml:space="preserve"> 弥渡县</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0.04</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0.04</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0.05</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0.05</w:t>
            </w:r>
          </w:p>
        </w:tc>
        <w:tc>
          <w:tcPr>
            <w:tcW w:w="12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5" w:hRule="atLeast"/>
        </w:trPr>
        <w:tc>
          <w:tcPr>
            <w:tcW w:w="18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eastAsia" w:ascii="Times New Roman" w:hAnsi="Times New Roman" w:eastAsia="方正仿宋_GBK" w:cs="Times New Roman"/>
                <w:i w:val="0"/>
                <w:color w:val="000000"/>
                <w:sz w:val="21"/>
                <w:szCs w:val="21"/>
                <w:u w:val="none"/>
                <w:lang w:eastAsia="zh-CN"/>
              </w:rPr>
              <w:t>南涧县</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0.03</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0.04</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0.04</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0.05</w:t>
            </w:r>
          </w:p>
        </w:tc>
        <w:tc>
          <w:tcPr>
            <w:tcW w:w="12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eastAsia" w:ascii="Times New Roman" w:hAnsi="Times New Roman" w:eastAsia="方正仿宋_GBK" w:cs="Times New Roman"/>
                <w:i w:val="0"/>
                <w:color w:val="000000"/>
                <w:sz w:val="21"/>
                <w:szCs w:val="21"/>
                <w:u w:val="none"/>
                <w:lang w:val="en-US" w:eastAsia="zh-CN"/>
              </w:rPr>
              <w:t>0.06</w:t>
            </w:r>
            <w:r>
              <w:rPr>
                <w:rFonts w:hint="eastAsia" w:ascii="方正黑体_GBK" w:hAnsi="方正黑体_GBK" w:eastAsia="方正黑体_GBK" w:cs="方正黑体_GBK"/>
                <w:sz w:val="32"/>
                <w:szCs w:val="32"/>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18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eastAsia" w:ascii="Times New Roman" w:hAnsi="Times New Roman" w:eastAsia="方正仿宋_GBK" w:cs="Times New Roman"/>
                <w:i w:val="0"/>
                <w:color w:val="000000"/>
                <w:sz w:val="21"/>
                <w:szCs w:val="21"/>
                <w:u w:val="none"/>
                <w:lang w:eastAsia="zh-CN"/>
              </w:rPr>
              <w:t>巍山县</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0.04</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0.04</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sz w:val="21"/>
                <w:szCs w:val="21"/>
                <w:u w:val="none"/>
                <w:lang w:val="en-US" w:eastAsia="zh-CN"/>
              </w:rPr>
              <w:t>0.05</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sz w:val="21"/>
                <w:szCs w:val="21"/>
                <w:u w:val="none"/>
                <w:lang w:val="en-US" w:eastAsia="zh-CN"/>
              </w:rPr>
              <w:t>0.05</w:t>
            </w:r>
          </w:p>
        </w:tc>
        <w:tc>
          <w:tcPr>
            <w:tcW w:w="12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sz w:val="21"/>
                <w:szCs w:val="21"/>
                <w:u w:val="none"/>
                <w:lang w:val="en-US" w:eastAsia="zh-CN"/>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5" w:hRule="atLeast"/>
        </w:trPr>
        <w:tc>
          <w:tcPr>
            <w:tcW w:w="18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eastAsia" w:ascii="Times New Roman" w:hAnsi="Times New Roman" w:eastAsia="方正仿宋_GBK" w:cs="Times New Roman"/>
                <w:i w:val="0"/>
                <w:color w:val="000000"/>
                <w:sz w:val="21"/>
                <w:szCs w:val="21"/>
                <w:u w:val="none"/>
                <w:lang w:eastAsia="zh-CN"/>
              </w:rPr>
              <w:t>永平县</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0.03</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0.04</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0.04</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0.05</w:t>
            </w:r>
          </w:p>
        </w:tc>
        <w:tc>
          <w:tcPr>
            <w:tcW w:w="12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18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eastAsia" w:ascii="Times New Roman" w:hAnsi="Times New Roman" w:eastAsia="方正仿宋_GBK" w:cs="Times New Roman"/>
                <w:i w:val="0"/>
                <w:color w:val="000000"/>
                <w:sz w:val="21"/>
                <w:szCs w:val="21"/>
                <w:u w:val="none"/>
                <w:lang w:eastAsia="zh-CN"/>
              </w:rPr>
              <w:t>云龙县</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0.03</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0.03</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0.04</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0.05</w:t>
            </w:r>
          </w:p>
        </w:tc>
        <w:tc>
          <w:tcPr>
            <w:tcW w:w="12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18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eastAsia" w:ascii="Times New Roman" w:hAnsi="Times New Roman" w:eastAsia="方正仿宋_GBK" w:cs="Times New Roman"/>
                <w:i w:val="0"/>
                <w:color w:val="000000"/>
                <w:sz w:val="21"/>
                <w:szCs w:val="21"/>
                <w:u w:val="none"/>
                <w:lang w:eastAsia="zh-CN"/>
              </w:rPr>
              <w:t>洱源县</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0.03</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0.04</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0.05</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0.05</w:t>
            </w:r>
          </w:p>
        </w:tc>
        <w:tc>
          <w:tcPr>
            <w:tcW w:w="12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5" w:hRule="atLeast"/>
        </w:trPr>
        <w:tc>
          <w:tcPr>
            <w:tcW w:w="18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eastAsia" w:ascii="Times New Roman" w:hAnsi="Times New Roman" w:eastAsia="方正仿宋_GBK" w:cs="Times New Roman"/>
                <w:i w:val="0"/>
                <w:color w:val="000000"/>
                <w:sz w:val="21"/>
                <w:szCs w:val="21"/>
                <w:u w:val="none"/>
                <w:lang w:eastAsia="zh-CN"/>
              </w:rPr>
              <w:t>剑川县</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0.03</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0.03</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0.04</w:t>
            </w:r>
          </w:p>
        </w:tc>
        <w:tc>
          <w:tcPr>
            <w:tcW w:w="12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0.04</w:t>
            </w:r>
          </w:p>
        </w:tc>
        <w:tc>
          <w:tcPr>
            <w:tcW w:w="129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1830"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eastAsia" w:ascii="Times New Roman" w:hAnsi="Times New Roman" w:eastAsia="方正仿宋_GBK" w:cs="Times New Roman"/>
                <w:i w:val="0"/>
                <w:color w:val="000000"/>
                <w:sz w:val="21"/>
                <w:szCs w:val="21"/>
                <w:u w:val="none"/>
                <w:lang w:eastAsia="zh-CN"/>
              </w:rPr>
              <w:t>鹤庆县</w:t>
            </w:r>
          </w:p>
        </w:tc>
        <w:tc>
          <w:tcPr>
            <w:tcW w:w="1292"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0.03</w:t>
            </w:r>
          </w:p>
        </w:tc>
        <w:tc>
          <w:tcPr>
            <w:tcW w:w="1292"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0.04</w:t>
            </w:r>
          </w:p>
        </w:tc>
        <w:tc>
          <w:tcPr>
            <w:tcW w:w="1292"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eastAsia" w:ascii="Times New Roman" w:hAnsi="Times New Roman" w:eastAsia="方正仿宋_GBK" w:cs="Times New Roman"/>
                <w:i w:val="0"/>
                <w:color w:val="000000"/>
                <w:kern w:val="0"/>
                <w:sz w:val="21"/>
                <w:szCs w:val="21"/>
                <w:u w:val="none"/>
                <w:lang w:val="en-US" w:eastAsia="zh-CN" w:bidi="ar"/>
              </w:rPr>
              <w:t>0.04</w:t>
            </w:r>
          </w:p>
        </w:tc>
        <w:tc>
          <w:tcPr>
            <w:tcW w:w="1292"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0.05</w:t>
            </w:r>
          </w:p>
        </w:tc>
        <w:tc>
          <w:tcPr>
            <w:tcW w:w="129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eastAsia" w:ascii="Times New Roman" w:hAnsi="Times New Roman" w:eastAsia="方正仿宋_GBK" w:cs="Times New Roman"/>
                <w:i w:val="0"/>
                <w:color w:val="000000"/>
                <w:sz w:val="21"/>
                <w:szCs w:val="21"/>
                <w:u w:val="none"/>
                <w:lang w:val="en-US" w:eastAsia="zh-CN"/>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0" w:hRule="atLeast"/>
        </w:trPr>
        <w:tc>
          <w:tcPr>
            <w:tcW w:w="18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Style w:val="11"/>
                <w:rFonts w:hint="default" w:ascii="Times New Roman" w:hAnsi="Times New Roman" w:eastAsia="方正仿宋_GBK" w:cs="Times New Roman"/>
                <w:sz w:val="21"/>
                <w:szCs w:val="21"/>
                <w:lang w:val="en-US" w:eastAsia="zh-CN" w:bidi="ar"/>
              </w:rPr>
            </w:pPr>
            <w:r>
              <w:rPr>
                <w:rStyle w:val="11"/>
                <w:rFonts w:hint="default" w:ascii="Times New Roman" w:hAnsi="Times New Roman" w:eastAsia="方正仿宋_GBK" w:cs="Times New Roman"/>
                <w:sz w:val="21"/>
                <w:szCs w:val="21"/>
                <w:lang w:val="en-US" w:eastAsia="zh-CN" w:bidi="ar"/>
              </w:rPr>
              <w:t>合</w:t>
            </w:r>
            <w:r>
              <w:rPr>
                <w:rStyle w:val="11"/>
                <w:rFonts w:hint="eastAsia" w:ascii="Times New Roman" w:hAnsi="Times New Roman" w:eastAsia="方正仿宋_GBK" w:cs="Times New Roman"/>
                <w:sz w:val="21"/>
                <w:szCs w:val="21"/>
                <w:lang w:val="en-US" w:eastAsia="zh-CN" w:bidi="ar"/>
              </w:rPr>
              <w:t xml:space="preserve">  </w:t>
            </w:r>
            <w:r>
              <w:rPr>
                <w:rStyle w:val="11"/>
                <w:rFonts w:hint="default" w:ascii="Times New Roman" w:hAnsi="Times New Roman" w:eastAsia="方正仿宋_GBK" w:cs="Times New Roman"/>
                <w:sz w:val="21"/>
                <w:szCs w:val="21"/>
                <w:lang w:val="en-US" w:eastAsia="zh-CN" w:bidi="ar"/>
              </w:rPr>
              <w:t>计</w:t>
            </w:r>
          </w:p>
        </w:tc>
        <w:tc>
          <w:tcPr>
            <w:tcW w:w="12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0.96</w:t>
            </w:r>
          </w:p>
        </w:tc>
        <w:tc>
          <w:tcPr>
            <w:tcW w:w="12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1.10</w:t>
            </w:r>
          </w:p>
        </w:tc>
        <w:tc>
          <w:tcPr>
            <w:tcW w:w="12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1.27</w:t>
            </w:r>
          </w:p>
        </w:tc>
        <w:tc>
          <w:tcPr>
            <w:tcW w:w="12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1.46</w:t>
            </w:r>
          </w:p>
        </w:tc>
        <w:tc>
          <w:tcPr>
            <w:tcW w:w="1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1.68</w:t>
            </w:r>
          </w:p>
        </w:tc>
      </w:tr>
    </w:tbl>
    <w:p>
      <w:pPr>
        <w:ind w:firstLine="210" w:firstLineChars="100"/>
      </w:pPr>
      <w:r>
        <w:rPr>
          <w:rFonts w:hint="eastAsia" w:ascii="Times New Roman" w:hAnsi="Times New Roman" w:eastAsia="方正仿宋_GBK" w:cs="Times New Roman"/>
          <w:color w:val="000000"/>
          <w:sz w:val="21"/>
          <w:szCs w:val="21"/>
          <w:lang w:val="en-US" w:eastAsia="zh-CN"/>
        </w:rPr>
        <w:t>*按州市场监管局提供的2020年基数测算。</w:t>
      </w:r>
    </w:p>
    <w:p/>
    <w:p>
      <w:pPr>
        <w:rPr>
          <w:rFonts w:hint="eastAsia" w:ascii="方正黑体_GBK" w:hAnsi="方正黑体_GBK" w:eastAsia="方正黑体_GBK" w:cs="方正黑体_GBK"/>
          <w:i w:val="0"/>
          <w:color w:val="000000"/>
          <w:kern w:val="0"/>
          <w:sz w:val="28"/>
          <w:szCs w:val="28"/>
          <w:u w:val="none"/>
          <w:lang w:val="en-US" w:eastAsia="zh-CN" w:bidi="ar"/>
        </w:rPr>
      </w:pPr>
      <w:r>
        <w:rPr>
          <w:rFonts w:hint="eastAsia" w:ascii="方正黑体_GBK" w:hAnsi="方正黑体_GBK" w:eastAsia="方正黑体_GBK" w:cs="方正黑体_GBK"/>
          <w:sz w:val="28"/>
          <w:szCs w:val="28"/>
          <w:lang w:eastAsia="zh-CN"/>
        </w:rPr>
        <w:t>附件</w:t>
      </w:r>
      <w:r>
        <w:rPr>
          <w:rFonts w:hint="eastAsia" w:ascii="方正黑体_GBK" w:hAnsi="方正黑体_GBK" w:eastAsia="方正黑体_GBK" w:cs="方正黑体_GBK"/>
          <w:sz w:val="28"/>
          <w:szCs w:val="28"/>
          <w:lang w:val="en-US" w:eastAsia="zh-CN"/>
        </w:rPr>
        <w:t>3</w:t>
      </w:r>
    </w:p>
    <w:p>
      <w:pPr>
        <w:pageBreakBefore w:val="0"/>
        <w:kinsoku/>
        <w:wordWrap/>
        <w:overflowPunct/>
        <w:topLinePunct w:val="0"/>
        <w:autoSpaceDE/>
        <w:autoSpaceDN/>
        <w:bidi w:val="0"/>
        <w:adjustRightInd/>
        <w:snapToGrid/>
        <w:spacing w:line="580" w:lineRule="exact"/>
        <w:jc w:val="center"/>
        <w:textAlignment w:val="auto"/>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“十四五”期间大理州规上服务业目标任务分解</w:t>
      </w:r>
    </w:p>
    <w:p>
      <w:pPr>
        <w:pageBreakBefore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 xml:space="preserve">                                          </w:t>
      </w:r>
      <w:r>
        <w:rPr>
          <w:rFonts w:hint="eastAsia" w:ascii="方正黑体_GBK" w:hAnsi="方正黑体_GBK" w:eastAsia="方正黑体_GBK" w:cs="方正黑体_GBK"/>
          <w:color w:val="000000"/>
          <w:sz w:val="32"/>
          <w:szCs w:val="32"/>
          <w:lang w:val="en-US" w:eastAsia="zh-CN"/>
        </w:rPr>
        <w:t xml:space="preserve"> 单位：户</w:t>
      </w:r>
    </w:p>
    <w:tbl>
      <w:tblPr>
        <w:tblStyle w:val="8"/>
        <w:tblW w:w="8396" w:type="dxa"/>
        <w:tblInd w:w="28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23"/>
        <w:gridCol w:w="1483"/>
        <w:gridCol w:w="1470"/>
        <w:gridCol w:w="1275"/>
        <w:gridCol w:w="1320"/>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142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11"/>
                <w:rFonts w:hint="eastAsia" w:ascii="方正仿宋_GBK" w:hAnsi="方正仿宋_GBK" w:eastAsia="方正仿宋_GBK" w:cs="方正仿宋_GBK"/>
                <w:b/>
                <w:bCs/>
                <w:lang w:val="en-US" w:eastAsia="zh-CN" w:bidi="ar"/>
              </w:rPr>
              <w:t>县市</w:t>
            </w:r>
          </w:p>
        </w:tc>
        <w:tc>
          <w:tcPr>
            <w:tcW w:w="6973" w:type="dxa"/>
            <w:gridSpan w:val="5"/>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eastAsia="zh-CN"/>
              </w:rPr>
            </w:pPr>
            <w:r>
              <w:rPr>
                <w:rFonts w:hint="eastAsia" w:ascii="方正仿宋_GBK" w:hAnsi="方正仿宋_GBK" w:eastAsia="方正仿宋_GBK" w:cs="方正仿宋_GBK"/>
                <w:b/>
                <w:bCs/>
                <w:i w:val="0"/>
                <w:color w:val="000000"/>
                <w:sz w:val="21"/>
                <w:szCs w:val="21"/>
                <w:u w:val="none"/>
                <w:lang w:eastAsia="zh-CN"/>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2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4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2021</w:t>
            </w:r>
            <w:r>
              <w:rPr>
                <w:rStyle w:val="12"/>
                <w:lang w:val="en-US" w:eastAsia="zh-CN" w:bidi="ar"/>
              </w:rPr>
              <w:t>年</w:t>
            </w:r>
          </w:p>
        </w:tc>
        <w:tc>
          <w:tcPr>
            <w:tcW w:w="14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2022</w:t>
            </w:r>
            <w:r>
              <w:rPr>
                <w:rStyle w:val="12"/>
                <w:lang w:val="en-US" w:eastAsia="zh-CN" w:bidi="ar"/>
              </w:rPr>
              <w:t>年</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2023</w:t>
            </w:r>
            <w:r>
              <w:rPr>
                <w:rStyle w:val="12"/>
                <w:lang w:val="en-US" w:eastAsia="zh-CN" w:bidi="ar"/>
              </w:rPr>
              <w:t>年</w:t>
            </w:r>
          </w:p>
        </w:tc>
        <w:tc>
          <w:tcPr>
            <w:tcW w:w="13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2024</w:t>
            </w:r>
            <w:r>
              <w:rPr>
                <w:rStyle w:val="12"/>
                <w:lang w:val="en-US" w:eastAsia="zh-CN" w:bidi="ar"/>
              </w:rPr>
              <w:t>年</w:t>
            </w:r>
          </w:p>
        </w:tc>
        <w:tc>
          <w:tcPr>
            <w:tcW w:w="14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2025</w:t>
            </w:r>
            <w:r>
              <w:rPr>
                <w:rStyle w:val="12"/>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0" w:hRule="atLeast"/>
        </w:trPr>
        <w:tc>
          <w:tcPr>
            <w:tcW w:w="142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Times New Roman" w:hAnsi="Times New Roman" w:eastAsia="方正仿宋_GBK" w:cs="Times New Roman"/>
                <w:i w:val="0"/>
                <w:color w:val="000000"/>
                <w:kern w:val="0"/>
                <w:sz w:val="21"/>
                <w:szCs w:val="21"/>
                <w:u w:val="none"/>
                <w:lang w:val="en-US" w:eastAsia="zh-CN" w:bidi="ar"/>
              </w:rPr>
              <w:t>大理市</w:t>
            </w:r>
          </w:p>
        </w:tc>
        <w:tc>
          <w:tcPr>
            <w:tcW w:w="14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76</w:t>
            </w:r>
          </w:p>
        </w:tc>
        <w:tc>
          <w:tcPr>
            <w:tcW w:w="14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83</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91</w:t>
            </w:r>
          </w:p>
        </w:tc>
        <w:tc>
          <w:tcPr>
            <w:tcW w:w="13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101</w:t>
            </w:r>
          </w:p>
        </w:tc>
        <w:tc>
          <w:tcPr>
            <w:tcW w:w="14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lang w:val="en-US" w:eastAsia="zh-CN"/>
              </w:rPr>
            </w:pPr>
            <w:r>
              <w:rPr>
                <w:rFonts w:hint="eastAsia" w:ascii="宋体" w:hAnsi="宋体" w:eastAsia="宋体" w:cs="宋体"/>
                <w:i w:val="0"/>
                <w:color w:val="auto"/>
                <w:kern w:val="0"/>
                <w:sz w:val="21"/>
                <w:szCs w:val="21"/>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142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Times New Roman" w:hAnsi="Times New Roman" w:eastAsia="方正仿宋_GBK" w:cs="Times New Roman"/>
                <w:i w:val="0"/>
                <w:color w:val="000000"/>
                <w:sz w:val="21"/>
                <w:szCs w:val="21"/>
                <w:u w:val="none"/>
                <w:lang w:eastAsia="zh-CN"/>
              </w:rPr>
              <w:t>漾濞县</w:t>
            </w:r>
          </w:p>
        </w:tc>
        <w:tc>
          <w:tcPr>
            <w:tcW w:w="14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1</w:t>
            </w:r>
          </w:p>
        </w:tc>
        <w:tc>
          <w:tcPr>
            <w:tcW w:w="14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1</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1</w:t>
            </w:r>
          </w:p>
        </w:tc>
        <w:tc>
          <w:tcPr>
            <w:tcW w:w="13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2</w:t>
            </w:r>
          </w:p>
        </w:tc>
        <w:tc>
          <w:tcPr>
            <w:tcW w:w="14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21"/>
                <w:szCs w:val="21"/>
                <w:u w:val="none"/>
                <w:lang w:val="en-US" w:eastAsia="zh-CN"/>
              </w:rPr>
            </w:pPr>
            <w:r>
              <w:rPr>
                <w:rFonts w:hint="eastAsia" w:ascii="宋体" w:hAnsi="宋体" w:eastAsia="宋体" w:cs="宋体"/>
                <w:i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5" w:hRule="atLeast"/>
        </w:trPr>
        <w:tc>
          <w:tcPr>
            <w:tcW w:w="142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Times New Roman" w:hAnsi="Times New Roman" w:eastAsia="方正仿宋_GBK" w:cs="Times New Roman"/>
                <w:i w:val="0"/>
                <w:color w:val="000000"/>
                <w:sz w:val="21"/>
                <w:szCs w:val="21"/>
                <w:u w:val="none"/>
                <w:lang w:eastAsia="zh-CN"/>
              </w:rPr>
              <w:t>祥云县</w:t>
            </w:r>
          </w:p>
        </w:tc>
        <w:tc>
          <w:tcPr>
            <w:tcW w:w="14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10</w:t>
            </w:r>
          </w:p>
        </w:tc>
        <w:tc>
          <w:tcPr>
            <w:tcW w:w="14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11</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12</w:t>
            </w:r>
          </w:p>
        </w:tc>
        <w:tc>
          <w:tcPr>
            <w:tcW w:w="13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auto"/>
                <w:kern w:val="0"/>
                <w:sz w:val="21"/>
                <w:szCs w:val="21"/>
                <w:u w:val="none"/>
                <w:lang w:val="en-US" w:eastAsia="zh-CN" w:bidi="ar"/>
              </w:rPr>
              <w:t>13</w:t>
            </w:r>
          </w:p>
        </w:tc>
        <w:tc>
          <w:tcPr>
            <w:tcW w:w="14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lang w:val="en-US" w:eastAsia="zh-CN"/>
              </w:rPr>
            </w:pPr>
            <w:r>
              <w:rPr>
                <w:rFonts w:hint="eastAsia" w:ascii="宋体" w:hAnsi="宋体" w:eastAsia="宋体" w:cs="宋体"/>
                <w:i w:val="0"/>
                <w:color w:val="auto"/>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5" w:hRule="atLeast"/>
        </w:trPr>
        <w:tc>
          <w:tcPr>
            <w:tcW w:w="142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Times New Roman" w:hAnsi="Times New Roman" w:eastAsia="方正仿宋_GBK" w:cs="Times New Roman"/>
                <w:i w:val="0"/>
                <w:color w:val="000000"/>
                <w:sz w:val="21"/>
                <w:szCs w:val="21"/>
                <w:u w:val="none"/>
                <w:lang w:eastAsia="zh-CN"/>
              </w:rPr>
              <w:t>宾川县</w:t>
            </w:r>
          </w:p>
        </w:tc>
        <w:tc>
          <w:tcPr>
            <w:tcW w:w="14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3</w:t>
            </w:r>
          </w:p>
        </w:tc>
        <w:tc>
          <w:tcPr>
            <w:tcW w:w="14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4</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4</w:t>
            </w:r>
          </w:p>
        </w:tc>
        <w:tc>
          <w:tcPr>
            <w:tcW w:w="13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4</w:t>
            </w:r>
          </w:p>
        </w:tc>
        <w:tc>
          <w:tcPr>
            <w:tcW w:w="14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21"/>
                <w:szCs w:val="21"/>
                <w:u w:val="none"/>
                <w:lang w:val="en-US" w:eastAsia="zh-CN"/>
              </w:rPr>
            </w:pPr>
            <w:r>
              <w:rPr>
                <w:rFonts w:hint="eastAsia" w:ascii="宋体" w:hAnsi="宋体" w:eastAsia="宋体" w:cs="宋体"/>
                <w:i w:val="0"/>
                <w:color w:val="auto"/>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trPr>
        <w:tc>
          <w:tcPr>
            <w:tcW w:w="142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Times New Roman" w:hAnsi="Times New Roman" w:eastAsia="方正仿宋_GBK" w:cs="Times New Roman"/>
                <w:i w:val="0"/>
                <w:color w:val="000000"/>
                <w:sz w:val="21"/>
                <w:szCs w:val="21"/>
                <w:u w:val="none"/>
                <w:lang w:val="en-US" w:eastAsia="zh-CN"/>
              </w:rPr>
              <w:t xml:space="preserve"> 弥渡县</w:t>
            </w:r>
          </w:p>
        </w:tc>
        <w:tc>
          <w:tcPr>
            <w:tcW w:w="14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6</w:t>
            </w:r>
          </w:p>
        </w:tc>
        <w:tc>
          <w:tcPr>
            <w:tcW w:w="14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7</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8</w:t>
            </w:r>
          </w:p>
        </w:tc>
        <w:tc>
          <w:tcPr>
            <w:tcW w:w="13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auto"/>
                <w:kern w:val="0"/>
                <w:sz w:val="21"/>
                <w:szCs w:val="21"/>
                <w:u w:val="none"/>
                <w:lang w:val="en-US" w:eastAsia="zh-CN" w:bidi="ar"/>
              </w:rPr>
              <w:t>9</w:t>
            </w:r>
          </w:p>
        </w:tc>
        <w:tc>
          <w:tcPr>
            <w:tcW w:w="14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lang w:val="en-US" w:eastAsia="zh-CN"/>
              </w:rPr>
            </w:pPr>
            <w:r>
              <w:rPr>
                <w:rFonts w:hint="eastAsia" w:ascii="宋体" w:hAnsi="宋体" w:eastAsia="宋体" w:cs="宋体"/>
                <w:i w:val="0"/>
                <w:color w:val="auto"/>
                <w:kern w:val="0"/>
                <w:sz w:val="21"/>
                <w:szCs w:val="21"/>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142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Times New Roman" w:hAnsi="Times New Roman" w:eastAsia="方正仿宋_GBK" w:cs="Times New Roman"/>
                <w:i w:val="0"/>
                <w:color w:val="000000"/>
                <w:sz w:val="21"/>
                <w:szCs w:val="21"/>
                <w:u w:val="none"/>
                <w:lang w:eastAsia="zh-CN"/>
              </w:rPr>
              <w:t>南涧县</w:t>
            </w:r>
          </w:p>
        </w:tc>
        <w:tc>
          <w:tcPr>
            <w:tcW w:w="14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2</w:t>
            </w:r>
          </w:p>
        </w:tc>
        <w:tc>
          <w:tcPr>
            <w:tcW w:w="14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2</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2</w:t>
            </w:r>
          </w:p>
        </w:tc>
        <w:tc>
          <w:tcPr>
            <w:tcW w:w="13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3</w:t>
            </w:r>
          </w:p>
        </w:tc>
        <w:tc>
          <w:tcPr>
            <w:tcW w:w="14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21"/>
                <w:szCs w:val="21"/>
                <w:u w:val="none"/>
                <w:lang w:val="en-US" w:eastAsia="zh-CN"/>
              </w:rPr>
            </w:pPr>
            <w:r>
              <w:rPr>
                <w:rFonts w:hint="eastAsia" w:ascii="宋体" w:hAnsi="宋体" w:eastAsia="宋体" w:cs="宋体"/>
                <w:i w:val="0"/>
                <w:color w:val="auto"/>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5" w:hRule="atLeast"/>
        </w:trPr>
        <w:tc>
          <w:tcPr>
            <w:tcW w:w="142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Times New Roman" w:hAnsi="Times New Roman" w:eastAsia="方正仿宋_GBK" w:cs="Times New Roman"/>
                <w:i w:val="0"/>
                <w:color w:val="000000"/>
                <w:sz w:val="21"/>
                <w:szCs w:val="21"/>
                <w:u w:val="none"/>
                <w:lang w:eastAsia="zh-CN"/>
              </w:rPr>
              <w:t>巍山县</w:t>
            </w:r>
          </w:p>
        </w:tc>
        <w:tc>
          <w:tcPr>
            <w:tcW w:w="14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3</w:t>
            </w:r>
          </w:p>
        </w:tc>
        <w:tc>
          <w:tcPr>
            <w:tcW w:w="14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3</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4</w:t>
            </w:r>
          </w:p>
        </w:tc>
        <w:tc>
          <w:tcPr>
            <w:tcW w:w="13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4</w:t>
            </w:r>
          </w:p>
        </w:tc>
        <w:tc>
          <w:tcPr>
            <w:tcW w:w="14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21"/>
                <w:szCs w:val="21"/>
                <w:u w:val="none"/>
                <w:lang w:val="en-US" w:eastAsia="zh-CN"/>
              </w:rPr>
            </w:pPr>
            <w:r>
              <w:rPr>
                <w:rFonts w:hint="eastAsia" w:ascii="宋体" w:hAnsi="宋体" w:eastAsia="宋体" w:cs="宋体"/>
                <w:i w:val="0"/>
                <w:color w:val="auto"/>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5" w:hRule="atLeast"/>
        </w:trPr>
        <w:tc>
          <w:tcPr>
            <w:tcW w:w="142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Times New Roman" w:hAnsi="Times New Roman" w:eastAsia="方正仿宋_GBK" w:cs="Times New Roman"/>
                <w:i w:val="0"/>
                <w:color w:val="000000"/>
                <w:sz w:val="21"/>
                <w:szCs w:val="21"/>
                <w:u w:val="none"/>
                <w:lang w:eastAsia="zh-CN"/>
              </w:rPr>
              <w:t>永平县</w:t>
            </w:r>
          </w:p>
        </w:tc>
        <w:tc>
          <w:tcPr>
            <w:tcW w:w="14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1</w:t>
            </w:r>
          </w:p>
        </w:tc>
        <w:tc>
          <w:tcPr>
            <w:tcW w:w="14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2</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2</w:t>
            </w:r>
          </w:p>
        </w:tc>
        <w:tc>
          <w:tcPr>
            <w:tcW w:w="13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2</w:t>
            </w:r>
          </w:p>
        </w:tc>
        <w:tc>
          <w:tcPr>
            <w:tcW w:w="14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21"/>
                <w:szCs w:val="21"/>
                <w:u w:val="none"/>
                <w:lang w:val="en-US" w:eastAsia="zh-CN"/>
              </w:rPr>
            </w:pPr>
            <w:r>
              <w:rPr>
                <w:rFonts w:hint="eastAsia" w:ascii="宋体" w:hAnsi="宋体" w:eastAsia="宋体" w:cs="宋体"/>
                <w:i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trPr>
        <w:tc>
          <w:tcPr>
            <w:tcW w:w="142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Times New Roman" w:hAnsi="Times New Roman" w:eastAsia="方正仿宋_GBK" w:cs="Times New Roman"/>
                <w:i w:val="0"/>
                <w:color w:val="000000"/>
                <w:sz w:val="21"/>
                <w:szCs w:val="21"/>
                <w:u w:val="none"/>
                <w:lang w:eastAsia="zh-CN"/>
              </w:rPr>
              <w:t>云龙县</w:t>
            </w:r>
          </w:p>
        </w:tc>
        <w:tc>
          <w:tcPr>
            <w:tcW w:w="14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1</w:t>
            </w:r>
          </w:p>
        </w:tc>
        <w:tc>
          <w:tcPr>
            <w:tcW w:w="14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1</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1</w:t>
            </w:r>
          </w:p>
        </w:tc>
        <w:tc>
          <w:tcPr>
            <w:tcW w:w="13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2</w:t>
            </w:r>
          </w:p>
        </w:tc>
        <w:tc>
          <w:tcPr>
            <w:tcW w:w="14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21"/>
                <w:szCs w:val="21"/>
                <w:u w:val="none"/>
                <w:lang w:val="en-US" w:eastAsia="zh-CN"/>
              </w:rPr>
            </w:pPr>
            <w:r>
              <w:rPr>
                <w:rFonts w:hint="eastAsia" w:ascii="宋体" w:hAnsi="宋体" w:eastAsia="宋体" w:cs="宋体"/>
                <w:i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142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Times New Roman" w:hAnsi="Times New Roman" w:eastAsia="方正仿宋_GBK" w:cs="Times New Roman"/>
                <w:i w:val="0"/>
                <w:color w:val="000000"/>
                <w:sz w:val="21"/>
                <w:szCs w:val="21"/>
                <w:u w:val="none"/>
                <w:lang w:eastAsia="zh-CN"/>
              </w:rPr>
              <w:t>洱源县</w:t>
            </w:r>
          </w:p>
        </w:tc>
        <w:tc>
          <w:tcPr>
            <w:tcW w:w="14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1</w:t>
            </w:r>
          </w:p>
        </w:tc>
        <w:tc>
          <w:tcPr>
            <w:tcW w:w="14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1</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1</w:t>
            </w:r>
          </w:p>
        </w:tc>
        <w:tc>
          <w:tcPr>
            <w:tcW w:w="13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2</w:t>
            </w:r>
          </w:p>
        </w:tc>
        <w:tc>
          <w:tcPr>
            <w:tcW w:w="14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21"/>
                <w:szCs w:val="21"/>
                <w:u w:val="none"/>
                <w:lang w:val="en-US" w:eastAsia="zh-CN"/>
              </w:rPr>
            </w:pPr>
            <w:r>
              <w:rPr>
                <w:rFonts w:hint="eastAsia" w:ascii="宋体" w:hAnsi="宋体" w:eastAsia="宋体" w:cs="宋体"/>
                <w:i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trPr>
        <w:tc>
          <w:tcPr>
            <w:tcW w:w="142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Times New Roman" w:hAnsi="Times New Roman" w:eastAsia="方正仿宋_GBK" w:cs="Times New Roman"/>
                <w:i w:val="0"/>
                <w:color w:val="000000"/>
                <w:sz w:val="21"/>
                <w:szCs w:val="21"/>
                <w:u w:val="none"/>
                <w:lang w:eastAsia="zh-CN"/>
              </w:rPr>
              <w:t>剑川县</w:t>
            </w:r>
          </w:p>
        </w:tc>
        <w:tc>
          <w:tcPr>
            <w:tcW w:w="148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3</w:t>
            </w:r>
          </w:p>
        </w:tc>
        <w:tc>
          <w:tcPr>
            <w:tcW w:w="14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3</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4</w:t>
            </w:r>
          </w:p>
        </w:tc>
        <w:tc>
          <w:tcPr>
            <w:tcW w:w="13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4</w:t>
            </w:r>
          </w:p>
        </w:tc>
        <w:tc>
          <w:tcPr>
            <w:tcW w:w="14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21"/>
                <w:szCs w:val="21"/>
                <w:u w:val="none"/>
                <w:lang w:val="en-US" w:eastAsia="zh-CN"/>
              </w:rPr>
            </w:pPr>
            <w:r>
              <w:rPr>
                <w:rFonts w:hint="eastAsia" w:ascii="宋体" w:hAnsi="宋体" w:eastAsia="宋体" w:cs="宋体"/>
                <w:i w:val="0"/>
                <w:color w:val="auto"/>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0" w:hRule="atLeast"/>
        </w:trPr>
        <w:tc>
          <w:tcPr>
            <w:tcW w:w="1423"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Times New Roman" w:hAnsi="Times New Roman" w:eastAsia="方正仿宋_GBK" w:cs="Times New Roman"/>
                <w:i w:val="0"/>
                <w:color w:val="000000"/>
                <w:sz w:val="21"/>
                <w:szCs w:val="21"/>
                <w:u w:val="none"/>
                <w:lang w:eastAsia="zh-CN"/>
              </w:rPr>
              <w:t>鹤庆县</w:t>
            </w:r>
          </w:p>
        </w:tc>
        <w:tc>
          <w:tcPr>
            <w:tcW w:w="1483"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10</w:t>
            </w:r>
          </w:p>
        </w:tc>
        <w:tc>
          <w:tcPr>
            <w:tcW w:w="147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11</w:t>
            </w:r>
          </w:p>
        </w:tc>
        <w:tc>
          <w:tcPr>
            <w:tcW w:w="127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12</w:t>
            </w:r>
          </w:p>
        </w:tc>
        <w:tc>
          <w:tcPr>
            <w:tcW w:w="13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宋体" w:hAnsi="宋体" w:eastAsia="宋体" w:cs="宋体"/>
                <w:i w:val="0"/>
                <w:color w:val="auto"/>
                <w:kern w:val="0"/>
                <w:sz w:val="21"/>
                <w:szCs w:val="21"/>
                <w:u w:val="none"/>
                <w:lang w:val="en-US" w:eastAsia="zh-CN" w:bidi="ar"/>
              </w:rPr>
              <w:t>13</w:t>
            </w:r>
          </w:p>
        </w:tc>
        <w:tc>
          <w:tcPr>
            <w:tcW w:w="142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lang w:val="en-US" w:eastAsia="zh-CN"/>
              </w:rPr>
            </w:pPr>
            <w:r>
              <w:rPr>
                <w:rFonts w:hint="eastAsia" w:ascii="宋体" w:hAnsi="宋体" w:eastAsia="宋体" w:cs="宋体"/>
                <w:i w:val="0"/>
                <w:color w:val="auto"/>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14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Style w:val="11"/>
                <w:rFonts w:hint="eastAsia" w:ascii="方正仿宋_GBK" w:hAnsi="方正仿宋_GBK" w:eastAsia="方正仿宋_GBK" w:cs="方正仿宋_GBK"/>
                <w:lang w:val="en-US" w:eastAsia="zh-CN" w:bidi="ar"/>
              </w:rPr>
            </w:pPr>
            <w:r>
              <w:rPr>
                <w:rStyle w:val="11"/>
                <w:rFonts w:hint="eastAsia" w:ascii="方正仿宋_GBK" w:hAnsi="方正仿宋_GBK" w:eastAsia="方正仿宋_GBK" w:cs="方正仿宋_GBK"/>
                <w:lang w:val="en-US" w:eastAsia="zh-CN" w:bidi="ar"/>
              </w:rPr>
              <w:t>合  计</w:t>
            </w:r>
          </w:p>
        </w:tc>
        <w:tc>
          <w:tcPr>
            <w:tcW w:w="14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eastAsia="宋体" w:cs="Times New Roman"/>
                <w:i w:val="0"/>
                <w:color w:val="000000"/>
                <w:kern w:val="0"/>
                <w:sz w:val="21"/>
                <w:szCs w:val="21"/>
                <w:u w:val="none"/>
                <w:lang w:val="en-US" w:eastAsia="zh-CN" w:bidi="ar"/>
              </w:rPr>
              <w:t>117</w:t>
            </w:r>
          </w:p>
        </w:tc>
        <w:tc>
          <w:tcPr>
            <w:tcW w:w="14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eastAsia="宋体" w:cs="Times New Roman"/>
                <w:i w:val="0"/>
                <w:color w:val="000000"/>
                <w:kern w:val="0"/>
                <w:sz w:val="21"/>
                <w:szCs w:val="21"/>
                <w:u w:val="none"/>
                <w:lang w:val="en-US" w:eastAsia="zh-CN" w:bidi="ar"/>
              </w:rPr>
              <w:t>129</w:t>
            </w:r>
          </w:p>
        </w:tc>
        <w:tc>
          <w:tcPr>
            <w:tcW w:w="12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eastAsia="宋体" w:cs="Times New Roman"/>
                <w:i w:val="0"/>
                <w:color w:val="000000"/>
                <w:kern w:val="0"/>
                <w:sz w:val="21"/>
                <w:szCs w:val="21"/>
                <w:u w:val="none"/>
                <w:lang w:val="en-US" w:eastAsia="zh-CN" w:bidi="ar"/>
              </w:rPr>
              <w:t>142</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eastAsia="宋体" w:cs="Times New Roman"/>
                <w:i w:val="0"/>
                <w:color w:val="000000"/>
                <w:kern w:val="0"/>
                <w:sz w:val="21"/>
                <w:szCs w:val="21"/>
                <w:u w:val="none"/>
                <w:lang w:val="en-US" w:eastAsia="zh-CN" w:bidi="ar"/>
              </w:rPr>
              <w:t>159</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eastAsia="宋体" w:cs="Times New Roman"/>
                <w:i w:val="0"/>
                <w:color w:val="000000"/>
                <w:kern w:val="0"/>
                <w:sz w:val="21"/>
                <w:szCs w:val="21"/>
                <w:u w:val="none"/>
                <w:lang w:val="en-US" w:eastAsia="zh-CN" w:bidi="ar"/>
              </w:rPr>
              <w:t>178</w:t>
            </w:r>
          </w:p>
        </w:tc>
      </w:tr>
    </w:tbl>
    <w:p>
      <w:pPr>
        <w:ind w:firstLine="210" w:firstLineChars="100"/>
      </w:pPr>
      <w:r>
        <w:rPr>
          <w:rFonts w:hint="eastAsia" w:ascii="Times New Roman" w:hAnsi="Times New Roman" w:eastAsia="方正仿宋_GBK" w:cs="Times New Roman"/>
          <w:color w:val="000000"/>
          <w:sz w:val="21"/>
          <w:szCs w:val="21"/>
          <w:lang w:val="en-US" w:eastAsia="zh-CN"/>
        </w:rPr>
        <w:t>*按</w:t>
      </w:r>
      <w:r>
        <w:rPr>
          <w:rFonts w:hint="eastAsia" w:cs="Times New Roman"/>
          <w:color w:val="000000"/>
          <w:sz w:val="21"/>
          <w:szCs w:val="21"/>
          <w:lang w:val="en-US" w:eastAsia="zh-CN"/>
        </w:rPr>
        <w:t>州</w:t>
      </w:r>
      <w:r>
        <w:rPr>
          <w:rFonts w:hint="eastAsia" w:ascii="Times New Roman" w:hAnsi="Times New Roman" w:eastAsia="方正仿宋_GBK" w:cs="Times New Roman"/>
          <w:color w:val="000000"/>
          <w:sz w:val="21"/>
          <w:szCs w:val="21"/>
          <w:lang w:val="en-US" w:eastAsia="zh-CN"/>
        </w:rPr>
        <w:t>统计局提供的2020年基数测算。</w:t>
      </w:r>
    </w:p>
    <w:p/>
    <w:p/>
    <w:p>
      <w:pPr>
        <w:pStyle w:val="5"/>
        <w:rPr>
          <w:rFonts w:hint="eastAsia" w:ascii="仿宋_GB2312" w:hAnsi="仿宋_GB2312" w:eastAsia="仿宋_GB2312" w:cs="仿宋_GB2312"/>
          <w:color w:val="000000"/>
        </w:rPr>
      </w:pPr>
    </w:p>
    <w:sectPr>
      <w:headerReference r:id="rId4" w:type="first"/>
      <w:footerReference r:id="rId7" w:type="first"/>
      <w:headerReference r:id="rId3" w:type="default"/>
      <w:footerReference r:id="rId5" w:type="default"/>
      <w:footerReference r:id="rId6" w:type="even"/>
      <w:pgSz w:w="11907" w:h="16840"/>
      <w:pgMar w:top="2098" w:right="1474" w:bottom="1984" w:left="1588" w:header="0" w:footer="113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黑体fal">
    <w:altName w:val="黑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
    <w:altName w:val="黑体"/>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楷体">
    <w:altName w:val="楷体_GB2312"/>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B3BDD"/>
    <w:rsid w:val="001226C8"/>
    <w:rsid w:val="001531A4"/>
    <w:rsid w:val="00CB3DDA"/>
    <w:rsid w:val="00E7283B"/>
    <w:rsid w:val="00E7638B"/>
    <w:rsid w:val="0F486BB7"/>
    <w:rsid w:val="113B7FFD"/>
    <w:rsid w:val="11DB1B02"/>
    <w:rsid w:val="18BF43DE"/>
    <w:rsid w:val="1B0E5B86"/>
    <w:rsid w:val="1B844BF8"/>
    <w:rsid w:val="1BC56F7B"/>
    <w:rsid w:val="1F782A3F"/>
    <w:rsid w:val="208D55D6"/>
    <w:rsid w:val="212A17DF"/>
    <w:rsid w:val="21A74994"/>
    <w:rsid w:val="2734451C"/>
    <w:rsid w:val="27F85FEC"/>
    <w:rsid w:val="353D27E0"/>
    <w:rsid w:val="394767E0"/>
    <w:rsid w:val="3BFB3BDD"/>
    <w:rsid w:val="3C7D27F1"/>
    <w:rsid w:val="428310F6"/>
    <w:rsid w:val="47350E54"/>
    <w:rsid w:val="4C633C0A"/>
    <w:rsid w:val="597B6003"/>
    <w:rsid w:val="5E525B9B"/>
    <w:rsid w:val="62E81268"/>
    <w:rsid w:val="63F0538A"/>
    <w:rsid w:val="6C654624"/>
    <w:rsid w:val="72714A7C"/>
    <w:rsid w:val="7C4C56AB"/>
    <w:rsid w:val="7CB96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宋体"/>
      <w:kern w:val="2"/>
      <w:sz w:val="32"/>
      <w:szCs w:val="32"/>
      <w:lang w:val="en-US" w:eastAsia="zh-CN" w:bidi="ar-SA"/>
    </w:rPr>
  </w:style>
  <w:style w:type="paragraph" w:styleId="4">
    <w:name w:val="heading 2"/>
    <w:basedOn w:val="1"/>
    <w:next w:val="1"/>
    <w:qFormat/>
    <w:uiPriority w:val="99"/>
    <w:pPr>
      <w:keepNext/>
      <w:keepLines/>
      <w:spacing w:before="260" w:after="260" w:line="413" w:lineRule="auto"/>
      <w:outlineLvl w:val="1"/>
    </w:pPr>
    <w:rPr>
      <w:rFonts w:ascii="Arial" w:hAnsi="Arial" w:eastAsia="黑体fal"/>
      <w:b/>
      <w:bCs/>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tabs>
        <w:tab w:val="left" w:pos="-6"/>
      </w:tabs>
      <w:ind w:firstLine="420" w:firstLineChars="200"/>
    </w:pPr>
    <w:rPr>
      <w:rFonts w:ascii="Calibri" w:eastAsia="宋体" w:cs="Times New Roman"/>
    </w:rPr>
  </w:style>
  <w:style w:type="paragraph" w:styleId="3">
    <w:name w:val="Body Text Indent"/>
    <w:basedOn w:val="1"/>
    <w:next w:val="2"/>
    <w:qFormat/>
    <w:uiPriority w:val="0"/>
    <w:pPr>
      <w:tabs>
        <w:tab w:val="left" w:pos="-6"/>
      </w:tabs>
      <w:ind w:firstLine="664" w:firstLineChars="209"/>
    </w:pPr>
    <w:rPr>
      <w:rFonts w:ascii="楷体_GB2312" w:hAnsi="Calibri" w:eastAsia="楷体_GB2312"/>
      <w:szCs w:val="22"/>
    </w:rPr>
  </w:style>
  <w:style w:type="paragraph" w:styleId="5">
    <w:name w:val="Body Text Indent 2"/>
    <w:basedOn w:val="1"/>
    <w:qFormat/>
    <w:uiPriority w:val="0"/>
    <w:pPr>
      <w:spacing w:after="120" w:line="480" w:lineRule="auto"/>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customStyle="1" w:styleId="11">
    <w:name w:val="font51"/>
    <w:basedOn w:val="9"/>
    <w:qFormat/>
    <w:uiPriority w:val="0"/>
    <w:rPr>
      <w:rFonts w:hint="eastAsia" w:ascii="宋体" w:hAnsi="宋体" w:eastAsia="宋体" w:cs="宋体"/>
      <w:color w:val="000000"/>
      <w:sz w:val="21"/>
      <w:szCs w:val="21"/>
      <w:u w:val="none"/>
    </w:rPr>
  </w:style>
  <w:style w:type="character" w:customStyle="1" w:styleId="12">
    <w:name w:val="font11"/>
    <w:basedOn w:val="9"/>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大理州直属党政机关单位</Company>
  <Pages>1</Pages>
  <Words>637</Words>
  <Characters>3637</Characters>
  <Lines>30</Lines>
  <Paragraphs>8</Paragraphs>
  <TotalTime>37</TotalTime>
  <ScaleCrop>false</ScaleCrop>
  <LinksUpToDate>false</LinksUpToDate>
  <CharactersWithSpaces>4266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2012-12-31T18:05:00Z</dcterms:created>
  <dc:creator>郜永贵</dc:creator>
  <cp:lastModifiedBy>县市场监管局（收文）</cp:lastModifiedBy>
  <cp:lastPrinted>2022-03-23T00:26:00Z</cp:lastPrinted>
  <dcterms:modified xsi:type="dcterms:W3CDTF">2022-04-07T01:43:58Z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A305ACBE82DA45BBA51CC6C47ABF92AD</vt:lpwstr>
  </property>
</Properties>
</file>