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</w:t>
      </w:r>
    </w:p>
    <w:p>
      <w:pPr>
        <w:spacing w:line="660" w:lineRule="exact"/>
        <w:jc w:val="center"/>
        <w:rPr>
          <w:rFonts w:hint="eastAsia" w:ascii="方正小标宋简体" w:hAnsi="宋体" w:eastAsia="方正小标宋简体" w:cs="方正小标宋_GBK"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_GBK"/>
          <w:sz w:val="44"/>
          <w:szCs w:val="44"/>
        </w:rPr>
        <w:t>剑川县促进高新技术企业“三倍增”培育计划</w:t>
      </w:r>
    </w:p>
    <w:p>
      <w:pPr>
        <w:ind w:firstLine="640" w:firstLineChars="200"/>
        <w:rPr>
          <w:rFonts w:ascii="宋体" w:hAnsi="宋体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方正仿宋_GBK" w:cs="仿宋_GB2312"/>
          <w:sz w:val="30"/>
          <w:szCs w:val="30"/>
        </w:rPr>
      </w:pPr>
      <w:r>
        <w:rPr>
          <w:rFonts w:hint="eastAsia" w:ascii="宋体" w:hAnsi="宋体" w:eastAsia="方正仿宋_GBK" w:cs="仿宋_GB2312"/>
          <w:sz w:val="30"/>
          <w:szCs w:val="30"/>
        </w:rPr>
        <w:t>根据大理州促进农业市场主体倍增等</w:t>
      </w:r>
      <w:r>
        <w:rPr>
          <w:rFonts w:hint="eastAsia" w:ascii="宋体" w:hAnsi="宋体" w:eastAsia="方正仿宋_GBK" w:cs="仿宋_GB2312"/>
          <w:sz w:val="32"/>
          <w:szCs w:val="32"/>
        </w:rPr>
        <w:t>８</w:t>
      </w:r>
      <w:r>
        <w:rPr>
          <w:rFonts w:hint="eastAsia" w:ascii="宋体" w:hAnsi="宋体" w:eastAsia="方正仿宋_GBK" w:cs="仿宋_GB2312"/>
          <w:sz w:val="30"/>
          <w:szCs w:val="30"/>
        </w:rPr>
        <w:t>个培育计划，结合实际，制定本培育计划。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一、发展目标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_GBK" w:cs="仿宋_GB2312"/>
          <w:sz w:val="32"/>
          <w:szCs w:val="32"/>
        </w:rPr>
      </w:pPr>
      <w:r>
        <w:rPr>
          <w:rFonts w:hint="eastAsia" w:ascii="宋体" w:hAnsi="宋体" w:eastAsia="方正仿宋_GBK" w:cs="仿宋_GB2312"/>
          <w:sz w:val="32"/>
          <w:szCs w:val="32"/>
        </w:rPr>
        <w:t>大力培育高新技术企业，到2025年，全县高新技术企业后备培育企业数达到3户，通过认定的高新企业由2020年的1户增加到3户以上，营业收入由2020年的0.07亿元增长到0.2亿元以上，对全县经济社会发展的支撑引领作用明显增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宋体" w:hAnsi="宋体" w:eastAsia="方正仿宋_GBK" w:cs="仿宋_GB2312"/>
          <w:sz w:val="32"/>
          <w:szCs w:val="32"/>
        </w:rPr>
      </w:pPr>
      <w:r>
        <w:rPr>
          <w:rFonts w:hint="eastAsia" w:ascii="宋体" w:hAnsi="宋体" w:eastAsia="方正仿宋_GBK" w:cs="仿宋_GB2312"/>
          <w:sz w:val="32"/>
          <w:szCs w:val="32"/>
        </w:rPr>
        <w:t>（一）建立高新技术企业后备培育名单。各</w:t>
      </w:r>
      <w:r>
        <w:rPr>
          <w:rFonts w:hint="eastAsia" w:ascii="宋体" w:hAnsi="宋体" w:eastAsia="方正仿宋_GBK" w:cs="仿宋_GB2312"/>
          <w:sz w:val="32"/>
          <w:szCs w:val="32"/>
          <w:lang w:eastAsia="zh-CN"/>
        </w:rPr>
        <w:t>部门</w:t>
      </w:r>
      <w:r>
        <w:rPr>
          <w:rFonts w:hint="eastAsia" w:ascii="宋体" w:hAnsi="宋体" w:eastAsia="方正仿宋_GBK" w:cs="仿宋_GB2312"/>
          <w:sz w:val="32"/>
          <w:szCs w:val="32"/>
        </w:rPr>
        <w:t>按照属地化管理原则，围绕本区域内工业企业、农业企业、建筑业企业、生产服务性企业、科技型中小企业、创新创业大赛获奖企业、再次认定的高新技术企业等，形成“十四五”高新技术企业后备名单。2022年5月前全县完成1户以上后备企业名单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_GBK" w:cs="仿宋_GB2312"/>
          <w:sz w:val="32"/>
          <w:szCs w:val="32"/>
        </w:rPr>
      </w:pPr>
      <w:r>
        <w:rPr>
          <w:rFonts w:hint="eastAsia" w:ascii="宋体" w:hAnsi="宋体" w:eastAsia="方正仿宋_GBK" w:cs="仿宋_GB2312"/>
          <w:sz w:val="32"/>
          <w:szCs w:val="32"/>
        </w:rPr>
        <w:t>（二）开展“一企一策”指导服务。县级科技管理部门牵头组织工作人员、科技服务机构（技术、财务）专家，组建本辖区服务团队，按照高新技术企业培育发展路径，结合企业自身科技创新基础，指导企业完善申报所需的各项条件，为每户企业提供“一企一策”指导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_GBK" w:cs="仿宋_GB2312"/>
          <w:sz w:val="32"/>
          <w:szCs w:val="32"/>
        </w:rPr>
      </w:pPr>
      <w:r>
        <w:rPr>
          <w:rFonts w:hint="eastAsia" w:ascii="宋体" w:hAnsi="宋体" w:eastAsia="方正仿宋_GBK" w:cs="仿宋_GB2312"/>
          <w:sz w:val="32"/>
          <w:szCs w:val="32"/>
        </w:rPr>
        <w:t>（三）支持高新技术企业做大做强。开展高新技术企业“树标提质”，围绕重点产业、重点领域遴选创新能力强、经济效益好、引领作用大、产业发展带动作用明显的“科技领军”高新技术企业，指导鼓励参与科技计划项目、科技成果转化项目申报和项目实施，促进加速企业由小变大、大变强。实施高新技术企业上市培育计划，大力培育起点高、创新基础好、创新意识强、成长性好的高新技术企业成功上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_GBK" w:cs="仿宋_GB2312"/>
          <w:sz w:val="32"/>
          <w:szCs w:val="32"/>
        </w:rPr>
      </w:pPr>
      <w:r>
        <w:rPr>
          <w:rFonts w:hint="eastAsia" w:ascii="宋体" w:hAnsi="宋体" w:eastAsia="方正仿宋_GBK" w:cs="仿宋_GB2312"/>
          <w:sz w:val="32"/>
          <w:szCs w:val="32"/>
        </w:rPr>
        <w:t>（四）加大高新技术企业招商力度。充分发挥我县园区的优势，加大力度引进省外高新技术企业。对从省外引进落地的有效期内高新技术企业，按其投资额的2倍计算招商引资任务完成额度，对省外整体迁入的有效期内高新技术企业，一次性给予省级经费补助30万元，县级经费补助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宋体" w:hAnsi="宋体" w:eastAsia="方正仿宋_GBK" w:cs="仿宋_GB2312"/>
          <w:sz w:val="32"/>
          <w:szCs w:val="32"/>
        </w:rPr>
      </w:pPr>
      <w:r>
        <w:rPr>
          <w:rFonts w:hint="eastAsia" w:ascii="宋体" w:hAnsi="宋体" w:eastAsia="方正仿宋_GBK" w:cs="仿宋_GB2312"/>
          <w:sz w:val="32"/>
          <w:szCs w:val="32"/>
        </w:rPr>
        <w:t>（一）大力开展高新技术企业政策培训和指导服务。开展全县统一的线上/线下培训、“一对一”服务对接。“十四五”期间，县级每年相关政策线上/线下培训不少于5场/次，每年线上/线下服务企业不少于30家。鼓励社会化力量参与培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_GBK" w:cs="仿宋_GB2312"/>
          <w:sz w:val="32"/>
          <w:szCs w:val="32"/>
        </w:rPr>
      </w:pPr>
      <w:r>
        <w:rPr>
          <w:rFonts w:hint="eastAsia" w:ascii="宋体" w:hAnsi="宋体" w:eastAsia="方正仿宋_GBK" w:cs="仿宋_GB2312"/>
          <w:sz w:val="32"/>
          <w:szCs w:val="32"/>
        </w:rPr>
        <w:t>（二）落实财政支持政策和企业税收优惠政策落实。对首次获批认定企业，规模以上给予每户30万元省级科技经费支持；规模以下首次获批认定企业，给予每户10万元省级科技经费支持；对3年有效期满重新获认定企业，给予每户5万元省级科技经费支持；入库培育的企业，每户一次性给予2万元省级科技经费补助；首次获批认定高新技术企业给予10万元的县级科技经费补助。高新技术企业享受减按15%的税率征收企业所得税、企业研发费用税前加计扣除政策。对符合条件的国家级、省级科技企业孵化器、大学科技园和国家备案众创空间，对其取得符合政策规定是收入，按规定落实免征房产税、城镇土地使用税和增值税等税收优惠政策，支持其对入驻高新技术企业和入库培育企业提供房租减免优惠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宋体" w:hAnsi="宋体" w:eastAsia="方正仿宋_GBK" w:cs="仿宋_GB2312"/>
          <w:sz w:val="32"/>
          <w:szCs w:val="32"/>
        </w:rPr>
      </w:pPr>
      <w:r>
        <w:rPr>
          <w:rFonts w:hint="eastAsia" w:ascii="宋体" w:hAnsi="宋体" w:eastAsia="方正仿宋_GBK" w:cs="仿宋_GB2312"/>
          <w:sz w:val="32"/>
          <w:szCs w:val="32"/>
        </w:rPr>
        <w:t>（三）强化考核评价。各</w:t>
      </w:r>
      <w:r>
        <w:rPr>
          <w:rFonts w:hint="eastAsia" w:ascii="宋体" w:hAnsi="宋体" w:eastAsia="方正仿宋_GBK" w:cs="仿宋_GB2312"/>
          <w:sz w:val="32"/>
          <w:szCs w:val="32"/>
          <w:lang w:val="en-US" w:eastAsia="zh-CN"/>
        </w:rPr>
        <w:t>部门</w:t>
      </w:r>
      <w:r>
        <w:rPr>
          <w:rFonts w:hint="eastAsia" w:ascii="宋体" w:hAnsi="宋体" w:eastAsia="方正仿宋_GBK" w:cs="仿宋_GB2312"/>
          <w:sz w:val="32"/>
          <w:szCs w:val="32"/>
        </w:rPr>
        <w:t>要增强对高新技术企业培育发展的担当意识，提高政治站位，切实承担起培育发展的重要责任，将“三倍增”工作目标，纳入高质量发展的绩效考核指标中，辖区内高技术企业数，高新技术企业经费（研究开发与试验发展经费）投入纳入县对</w:t>
      </w:r>
      <w:r>
        <w:rPr>
          <w:rFonts w:hint="eastAsia" w:ascii="宋体" w:hAnsi="宋体" w:eastAsia="方正仿宋_GBK" w:cs="仿宋_GB2312"/>
          <w:sz w:val="32"/>
          <w:szCs w:val="32"/>
          <w:lang w:val="en-US" w:eastAsia="zh-CN"/>
        </w:rPr>
        <w:t>部门</w:t>
      </w:r>
      <w:r>
        <w:rPr>
          <w:rFonts w:hint="eastAsia" w:ascii="宋体" w:hAnsi="宋体" w:eastAsia="方正仿宋_GBK" w:cs="仿宋_GB2312"/>
          <w:sz w:val="32"/>
          <w:szCs w:val="32"/>
        </w:rPr>
        <w:t>年度考核。</w:t>
      </w:r>
    </w:p>
    <w:p>
      <w:pPr>
        <w:spacing w:line="588" w:lineRule="exact"/>
        <w:ind w:left="420" w:leftChars="2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8" w:lineRule="exact"/>
        <w:ind w:left="420" w:leftChars="2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附件：“十四五”各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高新技术企业“三倍增”目标及任务分解</w:t>
      </w:r>
    </w:p>
    <w:tbl>
      <w:tblPr>
        <w:tblStyle w:val="6"/>
        <w:tblW w:w="142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500"/>
        <w:gridCol w:w="550"/>
        <w:gridCol w:w="594"/>
        <w:gridCol w:w="536"/>
        <w:gridCol w:w="432"/>
        <w:gridCol w:w="433"/>
        <w:gridCol w:w="686"/>
        <w:gridCol w:w="509"/>
        <w:gridCol w:w="421"/>
        <w:gridCol w:w="531"/>
        <w:gridCol w:w="664"/>
        <w:gridCol w:w="641"/>
        <w:gridCol w:w="475"/>
        <w:gridCol w:w="576"/>
        <w:gridCol w:w="675"/>
        <w:gridCol w:w="564"/>
        <w:gridCol w:w="498"/>
        <w:gridCol w:w="675"/>
        <w:gridCol w:w="609"/>
        <w:gridCol w:w="509"/>
        <w:gridCol w:w="575"/>
        <w:gridCol w:w="554"/>
        <w:gridCol w:w="641"/>
        <w:gridCol w:w="5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42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32"/>
                <w:szCs w:val="32"/>
                <w:lang w:bidi="ar"/>
              </w:rPr>
              <w:t>“</w:t>
            </w:r>
            <w:r>
              <w:rPr>
                <w:rStyle w:val="12"/>
                <w:rFonts w:hint="default"/>
                <w:lang w:bidi="ar"/>
              </w:rPr>
              <w:t>十四五</w:t>
            </w:r>
            <w:r>
              <w:rPr>
                <w:rStyle w:val="13"/>
                <w:rFonts w:ascii="宋体" w:hAnsi="宋体"/>
                <w:lang w:bidi="ar"/>
              </w:rPr>
              <w:t>”</w:t>
            </w:r>
            <w:r>
              <w:rPr>
                <w:rStyle w:val="12"/>
                <w:rFonts w:hint="default"/>
                <w:lang w:bidi="ar"/>
              </w:rPr>
              <w:t>期间各</w:t>
            </w:r>
            <w:r>
              <w:rPr>
                <w:rStyle w:val="12"/>
                <w:rFonts w:hint="eastAsia"/>
                <w:lang w:eastAsia="zh-CN" w:bidi="ar"/>
              </w:rPr>
              <w:t>部门</w:t>
            </w:r>
            <w:r>
              <w:rPr>
                <w:rStyle w:val="12"/>
                <w:rFonts w:hint="default"/>
                <w:lang w:bidi="ar"/>
              </w:rPr>
              <w:t>高新技术企业</w:t>
            </w:r>
            <w:r>
              <w:rPr>
                <w:rStyle w:val="13"/>
                <w:rFonts w:ascii="宋体" w:hAnsi="宋体"/>
                <w:lang w:bidi="ar"/>
              </w:rPr>
              <w:t>“</w:t>
            </w:r>
            <w:r>
              <w:rPr>
                <w:rStyle w:val="12"/>
                <w:rFonts w:hint="default"/>
                <w:lang w:bidi="ar"/>
              </w:rPr>
              <w:t>三倍增</w:t>
            </w:r>
            <w:r>
              <w:rPr>
                <w:rStyle w:val="13"/>
                <w:rFonts w:ascii="宋体" w:hAnsi="宋体"/>
                <w:lang w:bidi="ar"/>
              </w:rPr>
              <w:t>”</w:t>
            </w:r>
            <w:r>
              <w:rPr>
                <w:rStyle w:val="12"/>
                <w:rFonts w:hint="default"/>
                <w:lang w:bidi="ar"/>
              </w:rPr>
              <w:t>目标及任务分解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部门</w:t>
            </w:r>
          </w:p>
        </w:tc>
        <w:tc>
          <w:tcPr>
            <w:tcW w:w="2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2021年</w:t>
            </w:r>
          </w:p>
        </w:tc>
        <w:tc>
          <w:tcPr>
            <w:tcW w:w="2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2022年</w:t>
            </w:r>
          </w:p>
        </w:tc>
        <w:tc>
          <w:tcPr>
            <w:tcW w:w="2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2023年</w:t>
            </w:r>
          </w:p>
        </w:tc>
        <w:tc>
          <w:tcPr>
            <w:tcW w:w="2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2024年</w:t>
            </w:r>
          </w:p>
        </w:tc>
        <w:tc>
          <w:tcPr>
            <w:tcW w:w="2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数量（户）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营业总收入（亿元）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高新技术产品（服务）收入（亿元）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R&amp;D经费（亿元）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数量（户）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营业总收入（亿元）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高新技术产品（服务）收入（亿元）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R&amp;D经费（亿元）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数量（户）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营业总收入（亿元）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高新技术产品（服务）收入（亿元）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R&amp;D经费（亿元）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数量（户）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营业总收入（亿元）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高新技术产品（服务）收入（亿元）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R&amp;D经费（亿元）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数量（户）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营业总收入（亿元）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高新技术产品（服务）收入（亿元）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R&amp;D经费（亿元）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数量（户）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营业总收入（亿元）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高新技术产品（服务）收入（亿元）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R&amp;D经费（亿元）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大理市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24.78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22.00 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2.38 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38.64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38.00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2.86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47.50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47.50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3.43 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57.00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57.00 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4.12 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55.00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54.00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4.94 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66.00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64.83 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祥云县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55.19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40.00 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0.89 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26.60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1.07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33.26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31.25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1.29 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39.91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37.50 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1.54 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47.00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1.85 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56.40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55.00 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宾川县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0.59 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2.30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1.38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0.71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2.88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1.73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0.85 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3.45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2.07 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1.03 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3.00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2.00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1.23 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3.60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3.00 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弥渡县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5.19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4.15 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0.34 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6.28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5.02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0.40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7.85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6.27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0.48 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9.42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7.52 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0.58 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11.10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9.00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0.70 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13.32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12.00 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漾濞县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0.45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0.06 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0.14 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0.90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0.12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0.17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1.12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0.15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0.21 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1.35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0.18 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0.25 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1.61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0.22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0.30 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1.94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1.00 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巍山县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0.20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0.17 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0.36 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0.20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0.17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0.44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0.26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0.21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0.52 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0.31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0.26 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0.63 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0.37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0.31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0.75 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0.44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3.00 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云龙县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0.31 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0.50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0.02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0.38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0.78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0.45 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0.94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0.80 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0.54 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1.12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1.00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0.65 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1.35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1.00 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永平县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0.29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0.17 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0.26 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0.29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0.26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0.31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0.36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0.32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0.37 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0.44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0.39 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0.45 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0.52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0.46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0.53 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0.63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0.50 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南涧县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0.33 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0.50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0.02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0.40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0.50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0.42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0.48 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0.60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0.50 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0.57 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0.72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0.50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0.69 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0.86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0.60 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洱源县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2.92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2.47 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0.33 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3.53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2.99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0.40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4.41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3.50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0.48 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5.30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5.22 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0.57 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6.36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5.16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0.69 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7.63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剑川县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0.24 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0.29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0.09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0.08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0.34 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0.11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0.08 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0.41 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0.13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0.10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0.50 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0.15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0.10 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鹤庆县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77.96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73.79 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1.79 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129.00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105.55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2.15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162.02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131.21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2.57 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194.42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156.37 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3.09 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233.31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190.00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3.71 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251.12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199.00 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167.06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142.88 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7.97 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208.82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178.59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9.56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261.02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223.24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11.48 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313.22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267.88 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13.77 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93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360.24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307.74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16.53 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403.44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345.03 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19.83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/>
        <w:textAlignment w:val="auto"/>
        <w:rPr>
          <w:rFonts w:ascii="宋体" w:hAnsi="宋体" w:eastAsia="方正仿宋_GBK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850" w:right="1417" w:bottom="850" w:left="141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F7237"/>
    <w:rsid w:val="000E3917"/>
    <w:rsid w:val="00121DD4"/>
    <w:rsid w:val="002B3BD4"/>
    <w:rsid w:val="003344DC"/>
    <w:rsid w:val="004543F3"/>
    <w:rsid w:val="00642C07"/>
    <w:rsid w:val="00646BE4"/>
    <w:rsid w:val="006802B9"/>
    <w:rsid w:val="00683AB2"/>
    <w:rsid w:val="00687803"/>
    <w:rsid w:val="0069109D"/>
    <w:rsid w:val="0074237B"/>
    <w:rsid w:val="00786789"/>
    <w:rsid w:val="00804A13"/>
    <w:rsid w:val="0083176D"/>
    <w:rsid w:val="008D3AAD"/>
    <w:rsid w:val="00944E4B"/>
    <w:rsid w:val="00982978"/>
    <w:rsid w:val="0098671B"/>
    <w:rsid w:val="009933A9"/>
    <w:rsid w:val="00A15F0B"/>
    <w:rsid w:val="00A353A3"/>
    <w:rsid w:val="00AD2FD6"/>
    <w:rsid w:val="00AF304D"/>
    <w:rsid w:val="00C52DCF"/>
    <w:rsid w:val="00C817EC"/>
    <w:rsid w:val="00CD4276"/>
    <w:rsid w:val="00CD556A"/>
    <w:rsid w:val="00CE499C"/>
    <w:rsid w:val="00D11DB0"/>
    <w:rsid w:val="00EB14D3"/>
    <w:rsid w:val="00F24B92"/>
    <w:rsid w:val="00F758B7"/>
    <w:rsid w:val="025A737A"/>
    <w:rsid w:val="1A441B33"/>
    <w:rsid w:val="1A8F74B7"/>
    <w:rsid w:val="1B9F3AE8"/>
    <w:rsid w:val="2CE74023"/>
    <w:rsid w:val="2F863E2B"/>
    <w:rsid w:val="386C16E2"/>
    <w:rsid w:val="39BA2365"/>
    <w:rsid w:val="3B7C1E62"/>
    <w:rsid w:val="3FC9303B"/>
    <w:rsid w:val="47AA71B5"/>
    <w:rsid w:val="4C3C3AD3"/>
    <w:rsid w:val="4C7E5D36"/>
    <w:rsid w:val="4D1462BE"/>
    <w:rsid w:val="4EF10893"/>
    <w:rsid w:val="4F514221"/>
    <w:rsid w:val="58A957EE"/>
    <w:rsid w:val="5B1929D5"/>
    <w:rsid w:val="5D3B1A75"/>
    <w:rsid w:val="5E1769E6"/>
    <w:rsid w:val="5EFF7237"/>
    <w:rsid w:val="6B5526DB"/>
    <w:rsid w:val="6CAF5364"/>
    <w:rsid w:val="6D0E48E4"/>
    <w:rsid w:val="73AC4FE7"/>
    <w:rsid w:val="773B9FBA"/>
    <w:rsid w:val="FBA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Document Map"/>
    <w:basedOn w:val="1"/>
    <w:link w:val="10"/>
    <w:semiHidden/>
    <w:qFormat/>
    <w:uiPriority w:val="99"/>
    <w:pPr>
      <w:shd w:val="clear" w:color="auto" w:fill="00008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文档结构图 Char"/>
    <w:basedOn w:val="8"/>
    <w:link w:val="3"/>
    <w:semiHidden/>
    <w:qFormat/>
    <w:locked/>
    <w:uiPriority w:val="99"/>
    <w:rPr>
      <w:rFonts w:ascii="Times New Roman" w:hAnsi="Times New Roman" w:cs="Times New Roman"/>
      <w:sz w:val="2"/>
      <w:szCs w:val="2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3">
    <w:name w:val="font31"/>
    <w:basedOn w:val="8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526</Words>
  <Characters>3004</Characters>
  <Lines>25</Lines>
  <Paragraphs>7</Paragraphs>
  <TotalTime>9</TotalTime>
  <ScaleCrop>false</ScaleCrop>
  <LinksUpToDate>false</LinksUpToDate>
  <CharactersWithSpaces>3523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2021-11-18T08:42:00Z</dcterms:created>
  <dc:creator>zxy</dc:creator>
  <cp:lastModifiedBy>县市场监管局（收文）</cp:lastModifiedBy>
  <cp:lastPrinted>2022-03-23T00:30:00Z</cp:lastPrinted>
  <dcterms:modified xsi:type="dcterms:W3CDTF">2022-04-07T00:44:32Z</dcterms:modified>
  <dc:title>大理州促进高新技术企业“三倍增”行动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C321D921CFDA404ABAB7F13DA6F64F0F</vt:lpwstr>
  </property>
</Properties>
</file>