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rPr>
          <w:rFonts w:hint="eastAsia" w:ascii="方正黑体_GBK" w:hAnsi="方正黑体_GBK" w:eastAsia="方正黑体_GBK" w:cs="方正黑体_GBK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szCs w:val="32"/>
          <w:lang w:val="en-US" w:eastAsia="zh-CN"/>
        </w:rPr>
        <w:t>5</w:t>
      </w:r>
    </w:p>
    <w:p>
      <w:pPr>
        <w:widowControl/>
        <w:spacing w:line="66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0"/>
          <w:szCs w:val="40"/>
          <w:lang w:bidi="ar"/>
        </w:rPr>
      </w:pPr>
    </w:p>
    <w:p>
      <w:pPr>
        <w:widowControl/>
        <w:spacing w:line="660" w:lineRule="exact"/>
        <w:jc w:val="center"/>
        <w:rPr>
          <w:rFonts w:ascii="方正小标宋_GBK" w:hAnsi="方正小标宋_GBK" w:eastAsia="方正小标宋_GBK" w:cs="方正小标宋_GBK"/>
          <w:b/>
          <w:bCs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0"/>
          <w:szCs w:val="40"/>
          <w:lang w:bidi="ar"/>
        </w:rPr>
        <w:t>剑川县工信促进中小企业市场主体倍增培育计划</w:t>
      </w:r>
    </w:p>
    <w:p>
      <w:pPr>
        <w:spacing w:line="500" w:lineRule="exact"/>
        <w:ind w:firstLine="600" w:firstLineChars="200"/>
        <w:rPr>
          <w:rFonts w:ascii="宋体" w:hAnsi="宋体" w:eastAsia="方正仿宋_GBK" w:cs="仿宋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kern w:val="0"/>
          <w:szCs w:val="32"/>
          <w:lang w:bidi="ar"/>
        </w:rPr>
      </w:pPr>
      <w:r>
        <w:rPr>
          <w:rFonts w:hint="eastAsia" w:ascii="宋体" w:hAnsi="宋体" w:eastAsia="方正仿宋_GBK" w:cs="仿宋"/>
          <w:szCs w:val="32"/>
        </w:rPr>
        <w:t>根据大理州促进农业市场主体倍增等</w:t>
      </w:r>
      <w:r>
        <w:rPr>
          <w:rFonts w:hint="eastAsia" w:ascii="宋体" w:hAnsi="宋体" w:eastAsia="宋体" w:cs="宋体"/>
          <w:szCs w:val="32"/>
        </w:rPr>
        <w:t>８</w:t>
      </w:r>
      <w:r>
        <w:rPr>
          <w:rFonts w:hint="eastAsia" w:ascii="宋体" w:hAnsi="宋体" w:eastAsia="方正仿宋_GBK" w:cs="仿宋"/>
          <w:szCs w:val="32"/>
        </w:rPr>
        <w:t>个培育计划，结合实际，</w:t>
      </w:r>
      <w:r>
        <w:rPr>
          <w:rFonts w:hint="eastAsia" w:ascii="宋体" w:hAnsi="宋体" w:eastAsia="方正仿宋_GBK"/>
          <w:szCs w:val="32"/>
        </w:rPr>
        <w:t>制定本培育计划</w:t>
      </w:r>
      <w:r>
        <w:rPr>
          <w:rFonts w:hint="eastAsia" w:ascii="宋体" w:hAnsi="宋体" w:eastAsia="方正仿宋_GBK" w:cs="仿宋"/>
          <w:szCs w:val="32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Cs w:val="32"/>
          <w:lang w:bidi="ar"/>
        </w:rPr>
        <w:t>一、工作目标</w:t>
      </w:r>
    </w:p>
    <w:p>
      <w:pPr>
        <w:widowControl/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Cs w:val="32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十四五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时期，全县中小微企业数量年均增长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20%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，每年分别新增1658户、1910户、2200户、2535户、2920户，到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2025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年，全县中小微企业达到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3364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户，其中工业企业年均增长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18.5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%，到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2025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年达到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545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户。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Cs w:val="32"/>
          <w:lang w:bidi="ar"/>
        </w:rPr>
      </w:pPr>
      <w:r>
        <w:rPr>
          <w:rFonts w:ascii="黑体" w:hAnsi="黑体" w:eastAsia="黑体" w:cs="黑体"/>
          <w:color w:val="000000"/>
          <w:kern w:val="0"/>
          <w:szCs w:val="32"/>
          <w:lang w:bidi="ar"/>
        </w:rPr>
        <w:t>二、重点任务</w:t>
      </w:r>
    </w:p>
    <w:p>
      <w:pPr>
        <w:widowControl/>
        <w:spacing w:line="560" w:lineRule="exact"/>
        <w:ind w:firstLine="640" w:firstLineChars="200"/>
        <w:jc w:val="left"/>
        <w:rPr>
          <w:szCs w:val="32"/>
        </w:rPr>
      </w:pPr>
      <w:r>
        <w:rPr>
          <w:rFonts w:ascii="方正楷体_GBK" w:hAnsi="方正楷体_GBK" w:eastAsia="方正楷体_GBK" w:cs="方正楷体_GBK"/>
          <w:color w:val="000000"/>
          <w:kern w:val="0"/>
          <w:szCs w:val="32"/>
          <w:lang w:bidi="ar"/>
        </w:rPr>
        <w:t>（一）着力增加企业户数。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依据《大理白族自治州人民政府关于</w:t>
      </w:r>
      <w:r>
        <w:rPr>
          <w:rFonts w:ascii="方正仿宋_GBK" w:hAnsi="方正仿宋_GBK" w:eastAsia="方正仿宋_GBK" w:cs="方正仿宋_GBK"/>
          <w:color w:val="000000"/>
          <w:kern w:val="0"/>
          <w:szCs w:val="32"/>
          <w:lang w:bidi="ar"/>
        </w:rPr>
        <w:t>进一步优化营商环境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促进</w:t>
      </w:r>
      <w:r>
        <w:rPr>
          <w:rFonts w:ascii="方正仿宋_GBK" w:hAnsi="方正仿宋_GBK" w:eastAsia="方正仿宋_GBK" w:cs="方正仿宋_GBK"/>
          <w:color w:val="000000"/>
          <w:kern w:val="0"/>
          <w:szCs w:val="32"/>
          <w:lang w:bidi="ar"/>
        </w:rPr>
        <w:t>市场主体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倍增</w:t>
      </w:r>
      <w:r>
        <w:rPr>
          <w:rFonts w:ascii="方正仿宋_GBK" w:hAnsi="方正仿宋_GBK" w:eastAsia="方正仿宋_GBK" w:cs="方正仿宋_GBK"/>
          <w:color w:val="000000"/>
          <w:kern w:val="0"/>
          <w:szCs w:val="32"/>
          <w:lang w:bidi="ar"/>
        </w:rPr>
        <w:t>的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实施方案》，着力提高登记注册效率，提升行政审批服务效能，落实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个转企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“小升规”支持政策，明确任务分工，压实部门、县市责任，确定年度目标，制定工作方案，细化培育路径，合力壮大企业队伍，持续提升企业层次，确保实现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十四五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培育目标。</w:t>
      </w: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（县市场监管局、</w:t>
      </w:r>
      <w:r>
        <w:rPr>
          <w:rFonts w:hint="eastAsia" w:ascii="方正楷体_GBK" w:hAnsi="方正楷体_GBK" w:eastAsia="方正楷体_GBK" w:cs="方正楷体_GBK"/>
          <w:szCs w:val="32"/>
        </w:rPr>
        <w:t>县工业信息和科技局</w:t>
      </w: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、县农业农村局、县商务局、县</w:t>
      </w: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val="en-US" w:eastAsia="zh-CN" w:bidi="ar"/>
        </w:rPr>
        <w:t>教体</w:t>
      </w: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局、县生态环境局、县住建局、县交通运输局、县卫生健康局、县文化和旅游局、县财政局、县人行按职责分工负责）</w:t>
      </w:r>
    </w:p>
    <w:p>
      <w:pPr>
        <w:widowControl/>
        <w:spacing w:line="560" w:lineRule="exact"/>
        <w:ind w:firstLine="640" w:firstLineChars="200"/>
        <w:jc w:val="left"/>
        <w:rPr>
          <w:rFonts w:ascii="方正楷体_GBK" w:hAnsi="方正楷体_GBK" w:eastAsia="方正楷体_GBK" w:cs="方正楷体_GBK"/>
          <w:color w:val="000000"/>
          <w:kern w:val="0"/>
          <w:szCs w:val="32"/>
          <w:lang w:bidi="ar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（二）着力培育优质企业。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将培育壮大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专精特新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中小企业作为重点任务，进一步优化培育体系，完善企业梯度培育库，加大资金支持、融资服务、要素保障、权益维护力度，积极争取上级政策支持，扩大优质企业规模，到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2025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年，培育省级专精特新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成长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企业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家</w:t>
      </w: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（</w:t>
      </w:r>
      <w:r>
        <w:rPr>
          <w:rFonts w:hint="eastAsia" w:ascii="方正楷体_GBK" w:hAnsi="方正楷体_GBK" w:eastAsia="方正楷体_GBK" w:cs="方正楷体_GBK"/>
          <w:szCs w:val="32"/>
        </w:rPr>
        <w:t>县工业信息和科技局</w:t>
      </w: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牵头，县财政局、县农业农村局按职责分工负责）</w:t>
      </w:r>
    </w:p>
    <w:p>
      <w:pPr>
        <w:widowControl/>
        <w:spacing w:line="560" w:lineRule="exact"/>
        <w:ind w:firstLine="640" w:firstLineChars="200"/>
        <w:jc w:val="left"/>
        <w:rPr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（三）着力优化服务体系。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配合省级探索构建企业服务综合平台，加强与省级平台互联互通、数据共享。推动中小企业服务中心（窗口平台）、创业创新示范基地各司其职、形成合力，构建和完善中小企业公共服务体系。</w:t>
      </w: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（</w:t>
      </w:r>
      <w:r>
        <w:rPr>
          <w:rFonts w:hint="eastAsia" w:ascii="方正楷体_GBK" w:hAnsi="方正楷体_GBK" w:eastAsia="方正楷体_GBK" w:cs="方正楷体_GBK"/>
          <w:szCs w:val="32"/>
        </w:rPr>
        <w:t>县工业信息和科技局</w:t>
      </w: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）</w:t>
      </w:r>
    </w:p>
    <w:p>
      <w:pPr>
        <w:widowControl/>
        <w:spacing w:line="560" w:lineRule="exact"/>
        <w:ind w:firstLine="640" w:firstLineChars="200"/>
        <w:jc w:val="left"/>
        <w:rPr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（四）着力提升人才素养。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Cs w:val="32"/>
          <w:lang w:bidi="ar"/>
        </w:rPr>
        <w:t>一是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通过线上线下培训，举办企业沙龙、高管论坛等方式，多渠道、多形式实施民营企业家素质提升工程，持续提高中小企业综合管理和应对外部环境变化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、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适应经济新常态的综合能力。到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2025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年，力争培训企业家不少于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40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人次。二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Cs w:val="32"/>
          <w:lang w:bidi="ar"/>
        </w:rPr>
        <w:t>是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加强中小企业专业技术人才队伍建设，支持有条件的中小企业组建专家工作站，加大高层次人才培养引进力度。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Cs w:val="32"/>
          <w:lang w:bidi="ar"/>
        </w:rPr>
        <w:t>三是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加强中小企业产业工人队伍建设，采取有效措施提升产业工人技能素质、畅通产业工人发展通道、提高产业工人地位待遇。</w:t>
      </w: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（县人力资源社会保障局、</w:t>
      </w:r>
      <w:r>
        <w:rPr>
          <w:rFonts w:hint="eastAsia" w:ascii="方正楷体_GBK" w:hAnsi="方正楷体_GBK" w:eastAsia="方正楷体_GBK" w:cs="方正楷体_GBK"/>
          <w:szCs w:val="32"/>
        </w:rPr>
        <w:t>县工业信息和科技局</w:t>
      </w: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、县住房城乡建设局、县工商联按职责分工负责）</w:t>
      </w:r>
    </w:p>
    <w:p>
      <w:pPr>
        <w:widowControl/>
        <w:spacing w:line="560" w:lineRule="exact"/>
        <w:ind w:firstLine="640" w:firstLineChars="200"/>
        <w:jc w:val="left"/>
        <w:rPr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  <w:lang w:bidi="ar"/>
        </w:rPr>
        <w:t>三、保障措施</w:t>
      </w:r>
    </w:p>
    <w:p>
      <w:pPr>
        <w:widowControl/>
        <w:spacing w:line="560" w:lineRule="exact"/>
        <w:ind w:firstLine="640" w:firstLineChars="200"/>
        <w:jc w:val="left"/>
        <w:rPr>
          <w:rFonts w:ascii="方正楷体_GBK" w:hAnsi="方正楷体_GBK" w:eastAsia="方正楷体_GBK" w:cs="方正楷体_GBK"/>
          <w:color w:val="000000"/>
          <w:kern w:val="0"/>
          <w:szCs w:val="32"/>
          <w:lang w:bidi="ar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（一）强化组织领导。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切实发挥县促进民营经济暨中小企业发展工作领导小组作用，全面落实国家和省促进中小企业发展的系列决策部署。建立健全促进民营经济暨中小企业发展工作领导小组，由政府领导担任组长，高位推进中小企业发展。</w:t>
      </w: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（县促进民营经济暨中小企业发展工作领导小组成员单位，各县市人民政府按职责分工负责）</w:t>
      </w:r>
    </w:p>
    <w:p>
      <w:pPr>
        <w:widowControl/>
        <w:spacing w:line="560" w:lineRule="exact"/>
        <w:ind w:firstLine="640" w:firstLineChars="200"/>
        <w:jc w:val="left"/>
        <w:rPr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（二）分解目标任务。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对照中小企业培育目标，分解各县市工作任务（见附表），县级各部门要加强分析调度，强化指导服务，形成上下联动、信息共享的工作机制，合力确保目标任务的完成。</w:t>
      </w: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（</w:t>
      </w:r>
      <w:r>
        <w:rPr>
          <w:rFonts w:hint="eastAsia" w:ascii="方正楷体_GBK" w:hAnsi="方正楷体_GBK" w:eastAsia="方正楷体_GBK" w:cs="方正楷体_GBK"/>
          <w:szCs w:val="32"/>
        </w:rPr>
        <w:t>县工业信息和科技局</w:t>
      </w: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、县市场监管局牵头，县农业农村局、县住房城乡建设局、县商务局、县发改局按职责分工负责）</w:t>
      </w:r>
    </w:p>
    <w:p>
      <w:pPr>
        <w:widowControl/>
        <w:spacing w:line="560" w:lineRule="exact"/>
        <w:ind w:firstLine="640" w:firstLineChars="200"/>
        <w:jc w:val="left"/>
        <w:rPr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（三）加大信贷支持。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Cs w:val="32"/>
          <w:lang w:bidi="ar"/>
        </w:rPr>
        <w:t>一是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促进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政银企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有效对接，进一步改善剑川县营商和金融生态环境，探索构建剑川县金融服务平台，发挥金融科技在“非接触”模式下服务中小企业的作用。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Cs w:val="32"/>
          <w:lang w:bidi="ar"/>
        </w:rPr>
        <w:t>二是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落实尽职免责和容错纠错机制，建立健全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敢贷、愿贷、能贷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的长效机制，加大对小微企业首贷、信用贷、无还本续贷以及中长期贷款的支持。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Cs w:val="32"/>
          <w:lang w:bidi="ar"/>
        </w:rPr>
        <w:t>三是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完善中小微企业贷款风险补偿机制，对纳入县级中小微企业贷款风险补偿范围、符合条件的贷款按规定给予代偿。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Cs w:val="32"/>
          <w:lang w:bidi="ar"/>
        </w:rPr>
        <w:t>四是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持续推进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银税互动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应用，扩大信用贷、首贷、中长期贷款、无还本续贷等业务规模，提高中小企业贷款获得率。</w:t>
      </w: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（县财政局（县金融办）、县人行、县、县税务局、</w:t>
      </w:r>
      <w:r>
        <w:rPr>
          <w:rFonts w:hint="eastAsia" w:ascii="方正楷体_GBK" w:hAnsi="方正楷体_GBK" w:eastAsia="方正楷体_GBK" w:cs="方正楷体_GBK"/>
          <w:szCs w:val="32"/>
        </w:rPr>
        <w:t>县工业信息和科技局</w:t>
      </w: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按职责分工负责）</w:t>
      </w:r>
    </w:p>
    <w:p>
      <w:pPr>
        <w:widowControl/>
        <w:spacing w:line="560" w:lineRule="exact"/>
        <w:ind w:firstLine="640" w:firstLineChars="200"/>
        <w:jc w:val="left"/>
        <w:rPr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（四）强化要素保障。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Cs w:val="32"/>
          <w:lang w:bidi="ar"/>
        </w:rPr>
        <w:t>一是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有效保障中小企业发展用地。坚持规划引领，在国土空间规划中统筹重点产业发展建设用地，以“先存量、后增量”的原则，优化用地结构、盘活存量资源支持培育支持培育中小企业发展新产业、新业态。推行以长期租赁、先租后让、租让结合、弹性年期出让等多种方式向中小企业供应土地，降低企业用地成本。鼓励开发区、产业聚集区规划建设多层工业厂房、国家大学科技园、科技企业孵化器，供中小企业进行生产、研发、设计、经营多功能复合利用。支持企业“双创”有关政策盘活利用现有土地、厂房、仓库转型升级，可实行继续按原用途和土地权利类型使用土地的过渡期政策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Cs w:val="32"/>
          <w:lang w:bidi="ar"/>
        </w:rPr>
        <w:t>二是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切实保障企业生产用气。督促供气公司从工程建设、气源采购、用户服务、安全管理等多个方面开展工作，全力保障生产企业用户用气。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Cs w:val="32"/>
          <w:lang w:bidi="ar"/>
        </w:rPr>
        <w:t>三是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强化企业用电保障。积极争取南方电网公司支持，全力保障电力供应平稳有序，满足县内用电需求，促进地方经济高质量发展。</w:t>
      </w: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（县自然资源局、县发改局、</w:t>
      </w:r>
      <w:r>
        <w:rPr>
          <w:rFonts w:hint="eastAsia" w:ascii="方正楷体_GBK" w:hAnsi="方正楷体_GBK" w:eastAsia="方正楷体_GBK" w:cs="方正楷体_GBK"/>
          <w:szCs w:val="32"/>
        </w:rPr>
        <w:t>县工业信息和科技局</w:t>
      </w: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、县供电局按职责分工负责）</w:t>
      </w:r>
    </w:p>
    <w:p>
      <w:pPr>
        <w:widowControl/>
        <w:spacing w:line="560" w:lineRule="exact"/>
        <w:ind w:firstLine="640" w:firstLineChars="200"/>
        <w:jc w:val="left"/>
        <w:rPr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（六）落实惠企政策。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Cs w:val="32"/>
          <w:lang w:bidi="ar"/>
        </w:rPr>
        <w:t>一是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加大对新修订《云南省中小企业促进条例》的宣贯力度，推动广大党政机关、中小企业、社会公众知法、懂法、用法。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Cs w:val="32"/>
          <w:lang w:bidi="ar"/>
        </w:rPr>
        <w:t>二是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配合州级做好《保障中小企业款项支付条例》配套措施，建立预防和化解拖欠中小企业款项问题的长效机制。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Cs w:val="32"/>
          <w:lang w:bidi="ar"/>
        </w:rPr>
        <w:t>三是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根据省级部署，配合建立全省统一的惠企政策申报系统，横向到边联通省级部门，纵向到底贯通省、县（市）、县（市、区），统一入口、一键申报、后台分送办理，逐步实现惠企政策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一口发布、一口受理、一口咨询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服务。</w:t>
      </w: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（</w:t>
      </w:r>
      <w:r>
        <w:rPr>
          <w:rFonts w:hint="eastAsia" w:ascii="方正楷体_GBK" w:hAnsi="方正楷体_GBK" w:eastAsia="方正楷体_GBK" w:cs="方正楷体_GBK"/>
          <w:szCs w:val="32"/>
        </w:rPr>
        <w:t>县工业信息和科技局</w:t>
      </w: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、县政务服务管局牵头，县级相关职能部门按职责分工负责）</w:t>
      </w:r>
    </w:p>
    <w:p>
      <w:pPr>
        <w:widowControl/>
        <w:spacing w:line="560" w:lineRule="exact"/>
        <w:ind w:firstLine="640" w:firstLineChars="200"/>
        <w:jc w:val="left"/>
        <w:rPr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（七）强化考核评价。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Cs w:val="32"/>
          <w:lang w:bidi="ar"/>
        </w:rPr>
        <w:t>一是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适时组织执法检查，确保《云南省中小企业促进条例》《保障中小企业款项支付条例》等法规执行到位。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Cs w:val="32"/>
          <w:lang w:bidi="ar"/>
        </w:rPr>
        <w:t>二是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强化县对县市民营经济发展指标考核，压实各县市支持民营经济、中小企业发展的主体责任。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Cs w:val="32"/>
          <w:lang w:bidi="ar"/>
        </w:rPr>
        <w:t>三是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持续开展年度民营企业评议政府职能部门工作，强化评议结果运用，着力解决制约民营经济、中小企业发展的突出问题。</w:t>
      </w: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（县司法局、</w:t>
      </w:r>
      <w:r>
        <w:rPr>
          <w:rFonts w:hint="eastAsia" w:ascii="方正楷体_GBK" w:hAnsi="方正楷体_GBK" w:eastAsia="方正楷体_GBK" w:cs="方正楷体_GBK"/>
          <w:szCs w:val="32"/>
        </w:rPr>
        <w:t>县工业信息和科技局</w:t>
      </w: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、县发改局、县工商联按职责分工负责）</w:t>
      </w:r>
    </w:p>
    <w:p>
      <w:pPr>
        <w:widowControl/>
        <w:spacing w:line="560" w:lineRule="exact"/>
        <w:ind w:firstLine="640" w:firstLineChars="200"/>
        <w:jc w:val="left"/>
        <w:rPr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（八）激发企业活力。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Cs w:val="32"/>
          <w:lang w:bidi="ar"/>
        </w:rPr>
        <w:t>一是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积极组织优秀民营企业参与评选表彰活动，大力弘扬优秀企业家精神，激发干事创业正能量。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Cs w:val="32"/>
          <w:lang w:bidi="ar"/>
        </w:rPr>
        <w:t>二是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组织企业参与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创客中国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云南省中小企业创新创业大赛，凝聚崇尚创新创业正能量。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Cs w:val="32"/>
          <w:lang w:bidi="ar"/>
        </w:rPr>
        <w:t>三是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严格落实领导干部挂钩联系民营企业制度，切实为企业发展排忧解难、添薪续力。</w:t>
      </w: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（</w:t>
      </w:r>
      <w:r>
        <w:rPr>
          <w:rFonts w:hint="eastAsia" w:ascii="方正楷体_GBK" w:hAnsi="方正楷体_GBK" w:eastAsia="方正楷体_GBK" w:cs="方正楷体_GBK"/>
          <w:szCs w:val="32"/>
        </w:rPr>
        <w:t>县工业信息和科技局</w:t>
      </w: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  <w:lang w:bidi="ar"/>
        </w:rPr>
        <w:t>牵头，县委统战部、县委组织部、县总工会、县工商联按职责分工负责）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</w:pPr>
    </w:p>
    <w:p>
      <w:pPr>
        <w:widowControl/>
        <w:spacing w:line="560" w:lineRule="exact"/>
        <w:ind w:left="1920" w:leftChars="200" w:hanging="1280" w:hangingChars="400"/>
        <w:jc w:val="left"/>
        <w:rPr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val="en-US" w:eastAsia="zh-CN" w:bidi="ar"/>
        </w:rPr>
        <w:t>附件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：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1.“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十四五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期间各县培育发展中小微企业目标任务分解（按县市分）</w:t>
      </w:r>
    </w:p>
    <w:p>
      <w:pPr>
        <w:widowControl/>
        <w:spacing w:line="560" w:lineRule="exact"/>
        <w:ind w:left="2240" w:leftChars="500" w:hanging="640" w:hangingChars="2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eastAsia="zh-CN" w:bidi="ar"/>
        </w:rPr>
        <w:sectPr>
          <w:footerReference r:id="rId3" w:type="default"/>
          <w:pgSz w:w="11906" w:h="16838"/>
          <w:pgMar w:top="1984" w:right="1587" w:bottom="1701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2.“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十四五</w:t>
      </w:r>
      <w:r>
        <w:rPr>
          <w:rFonts w:hint="eastAsia" w:ascii="宋体" w:hAnsi="宋体" w:eastAsia="宋体" w:cs="宋体"/>
          <w:color w:val="000000"/>
          <w:kern w:val="0"/>
          <w:szCs w:val="32"/>
          <w:lang w:bidi="ar"/>
        </w:rPr>
        <w:t>”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bidi="ar"/>
        </w:rPr>
        <w:t>期间各县培育发展工业企业目标任务分解（按县市分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32"/>
          <w:lang w:eastAsia="zh-CN" w:bidi="ar"/>
        </w:rPr>
        <w:t>）</w:t>
      </w:r>
    </w:p>
    <w:tbl>
      <w:tblPr>
        <w:tblStyle w:val="8"/>
        <w:tblW w:w="136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2010"/>
        <w:gridCol w:w="2010"/>
        <w:gridCol w:w="2010"/>
        <w:gridCol w:w="2010"/>
        <w:gridCol w:w="2010"/>
        <w:gridCol w:w="2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1：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0"/>
                <w:szCs w:val="30"/>
                <w:lang w:bidi="ar"/>
              </w:rPr>
              <w:t>“十四五”期间各县培育发展中小微企业目标任务分解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单位：户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县市</w:t>
            </w:r>
          </w:p>
        </w:tc>
        <w:tc>
          <w:tcPr>
            <w:tcW w:w="120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年度数量（年均增长15.2%）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2020年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2021年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2022年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2023年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2024年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2025年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大理市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16386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18877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21746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25051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28859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33246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剑川县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1658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1910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2200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2535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2920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3364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鹤庆县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1672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1926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2219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2556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2945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3392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Style w:val="11"/>
                <w:rFonts w:hint="default"/>
                <w:lang w:bidi="ar"/>
              </w:rPr>
              <w:t>合</w:t>
            </w:r>
            <w:r>
              <w:rPr>
                <w:rStyle w:val="12"/>
                <w:rFonts w:hint="default"/>
                <w:lang w:bidi="ar"/>
              </w:rPr>
              <w:t xml:space="preserve">  </w:t>
            </w:r>
            <w:r>
              <w:rPr>
                <w:rStyle w:val="11"/>
                <w:rFonts w:hint="default"/>
                <w:lang w:bidi="ar"/>
              </w:rPr>
              <w:t>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37637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43358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49948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57540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66286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76362 </w:t>
            </w:r>
          </w:p>
        </w:tc>
      </w:tr>
    </w:tbl>
    <w:p>
      <w:pPr>
        <w:pStyle w:val="7"/>
        <w:ind w:left="640" w:firstLine="640"/>
      </w:pPr>
    </w:p>
    <w:p>
      <w:pPr>
        <w:pStyle w:val="7"/>
        <w:ind w:left="640" w:firstLine="640"/>
      </w:pPr>
    </w:p>
    <w:p>
      <w:pPr>
        <w:pStyle w:val="7"/>
        <w:ind w:left="640" w:firstLine="640"/>
      </w:pPr>
    </w:p>
    <w:p>
      <w:pPr>
        <w:pStyle w:val="7"/>
        <w:ind w:left="640" w:firstLine="640"/>
      </w:pPr>
    </w:p>
    <w:p>
      <w:r>
        <w:br w:type="page"/>
      </w:r>
    </w:p>
    <w:tbl>
      <w:tblPr>
        <w:tblStyle w:val="8"/>
        <w:tblW w:w="136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2010"/>
        <w:gridCol w:w="2010"/>
        <w:gridCol w:w="2010"/>
        <w:gridCol w:w="2010"/>
        <w:gridCol w:w="2010"/>
        <w:gridCol w:w="2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附件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2：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0"/>
                <w:szCs w:val="30"/>
                <w:lang w:bidi="ar"/>
              </w:rPr>
              <w:t>“十四五”期间各县培育发展工业企业目标任务分解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单位：户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24"/>
                <w:lang w:bidi="ar"/>
              </w:rPr>
              <w:t>县市</w:t>
            </w:r>
          </w:p>
        </w:tc>
        <w:tc>
          <w:tcPr>
            <w:tcW w:w="120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年度数量（年均增长14%）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2020年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2021年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2022年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2023年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2024年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2025年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永平县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210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239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273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311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云龙县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211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240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274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312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洱源县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213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243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277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316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剑川县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323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368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419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478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545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鹤庆县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218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248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283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323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2834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3231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3683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4199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4787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5457 </w:t>
            </w:r>
          </w:p>
        </w:tc>
      </w:tr>
    </w:tbl>
    <w:p>
      <w:pPr>
        <w:pStyle w:val="7"/>
        <w:ind w:left="640" w:firstLine="640"/>
      </w:pPr>
    </w:p>
    <w:sectPr>
      <w:pgSz w:w="16838" w:h="11906" w:orient="landscape"/>
      <w:pgMar w:top="1587" w:right="1984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C437E0-AB5D-46FC-AE4D-D290E32018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EDAD2D8-C9A5-4FEB-8E42-1A6E192FF541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FC9B56F-9A64-42D0-93E5-FED2356AB7D5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837053D1-EEDA-4615-B897-583ADB752F95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B417997E-1D3B-4432-8725-DB174803782E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B217E642-3EFE-418A-87F3-20979C743F5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17182FB3-AB40-40E8-A26B-C76DDC36FDD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8" w:fontKey="{B52C3219-DD91-47CB-8622-66FB610E50E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C2"/>
    <w:rsid w:val="006C099D"/>
    <w:rsid w:val="00EB74C2"/>
    <w:rsid w:val="00FA047C"/>
    <w:rsid w:val="071C5F80"/>
    <w:rsid w:val="08EE41A1"/>
    <w:rsid w:val="09E82393"/>
    <w:rsid w:val="137268F7"/>
    <w:rsid w:val="28A46CA2"/>
    <w:rsid w:val="2B321CC1"/>
    <w:rsid w:val="311A78BA"/>
    <w:rsid w:val="323B4D1E"/>
    <w:rsid w:val="3AE67061"/>
    <w:rsid w:val="3FD83CF0"/>
    <w:rsid w:val="4BC56A1E"/>
    <w:rsid w:val="4DD439F9"/>
    <w:rsid w:val="4F15109A"/>
    <w:rsid w:val="55673093"/>
    <w:rsid w:val="55973BA3"/>
    <w:rsid w:val="563A63E6"/>
    <w:rsid w:val="58336F13"/>
    <w:rsid w:val="5F287CBC"/>
    <w:rsid w:val="611F460A"/>
    <w:rsid w:val="62F10DB4"/>
    <w:rsid w:val="69242DAE"/>
    <w:rsid w:val="6BD303DF"/>
    <w:rsid w:val="6C672D9A"/>
    <w:rsid w:val="6D594405"/>
    <w:rsid w:val="72E7040E"/>
    <w:rsid w:val="738E4FD9"/>
    <w:rsid w:val="7A8114C2"/>
    <w:rsid w:val="7B3A1CBE"/>
    <w:rsid w:val="7D61154A"/>
    <w:rsid w:val="7E8D2857"/>
    <w:rsid w:val="7FC0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character" w:customStyle="1" w:styleId="10">
    <w:name w:val="font11"/>
    <w:basedOn w:val="9"/>
    <w:qFormat/>
    <w:uiPriority w:val="0"/>
    <w:rPr>
      <w:rFonts w:ascii="方正楷体_GBK" w:hAnsi="方正楷体_GBK" w:eastAsia="方正楷体_GBK" w:cs="方正楷体_GBK"/>
      <w:color w:val="000000"/>
      <w:sz w:val="30"/>
      <w:szCs w:val="30"/>
      <w:u w:val="none"/>
    </w:rPr>
  </w:style>
  <w:style w:type="character" w:customStyle="1" w:styleId="11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0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492</Words>
  <Characters>2806</Characters>
  <Lines>23</Lines>
  <Paragraphs>6</Paragraphs>
  <TotalTime>20</TotalTime>
  <ScaleCrop>false</ScaleCrop>
  <LinksUpToDate>false</LinksUpToDate>
  <CharactersWithSpaces>3292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2021-01-06T02:37:00Z</dcterms:created>
  <dc:creator>Administrator</dc:creator>
  <cp:lastModifiedBy>县市场监管局（收文）</cp:lastModifiedBy>
  <cp:lastPrinted>2022-03-23T00:29:00Z</cp:lastPrinted>
  <dcterms:modified xsi:type="dcterms:W3CDTF">2022-04-07T00:48:13Z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FE648099905247AB9F60F93F5C7F8EA3</vt:lpwstr>
  </property>
</Properties>
</file>